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27C3" w14:textId="77777777" w:rsidR="0041298E" w:rsidRDefault="0041298E" w:rsidP="0041298E">
      <w:pPr>
        <w:pStyle w:val="InsideCoverHead1"/>
        <w:jc w:val="center"/>
        <w:rPr>
          <w:sz w:val="56"/>
        </w:rPr>
      </w:pPr>
      <w:r>
        <w:rPr>
          <w:sz w:val="56"/>
        </w:rPr>
        <w:t>Adolescent SBIRT Learner’s Guide</w:t>
      </w:r>
    </w:p>
    <w:p w14:paraId="28DC1809" w14:textId="43413E27" w:rsidR="006909F9" w:rsidRPr="009F7BCC" w:rsidRDefault="00097F45" w:rsidP="009F7BCC">
      <w:pPr>
        <w:pStyle w:val="InsideCoverHead2"/>
        <w:spacing w:before="0" w:line="240" w:lineRule="auto"/>
        <w:jc w:val="center"/>
        <w:rPr>
          <w:sz w:val="56"/>
        </w:rPr>
      </w:pPr>
      <w:r w:rsidRPr="00097F45">
        <w:rPr>
          <w:sz w:val="56"/>
        </w:rPr>
        <w:t>Sample Course Syllabus</w:t>
      </w:r>
      <w:r w:rsidR="00E12B73">
        <w:rPr>
          <w:noProof/>
        </w:rPr>
        <mc:AlternateContent>
          <mc:Choice Requires="wps">
            <w:drawing>
              <wp:inline distT="0" distB="0" distL="0" distR="0" wp14:anchorId="68E0064D" wp14:editId="2F8D66CA">
                <wp:extent cx="304800" cy="304800"/>
                <wp:effectExtent l="0" t="3175" r="4445" b="0"/>
                <wp:docPr id="1" name="Rectangle 11" descr="https://uic.blackboard.com/images/ci/sets/set01/document_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2B6179" id="Rectangle 11" o:spid="_x0000_s1026" alt="https://uic.blackboard.com/images/ci/sets/set01/document_on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1621F97" w14:textId="77777777" w:rsidR="009F7BCC" w:rsidRDefault="009F7BCC" w:rsidP="009F7BCC">
      <w:pPr>
        <w:pStyle w:val="Heading2"/>
        <w:spacing w:before="0" w:after="120"/>
        <w:jc w:val="center"/>
      </w:pPr>
    </w:p>
    <w:p w14:paraId="1E92D023" w14:textId="0C9092F3" w:rsidR="006909F9" w:rsidRPr="00097F45" w:rsidRDefault="004F12A4" w:rsidP="009F7BCC">
      <w:pPr>
        <w:pStyle w:val="Heading2"/>
        <w:spacing w:before="0"/>
        <w:jc w:val="center"/>
      </w:pPr>
      <w:r>
        <w:t>[Insert term and year]</w:t>
      </w:r>
    </w:p>
    <w:p w14:paraId="01479168" w14:textId="77777777" w:rsidR="006909F9" w:rsidRPr="00097F45" w:rsidRDefault="00097F45" w:rsidP="00097F45">
      <w:pPr>
        <w:pStyle w:val="Heading2"/>
        <w:spacing w:before="0"/>
        <w:jc w:val="center"/>
      </w:pPr>
      <w:r w:rsidRPr="00097F45">
        <w:t>[Insert School Name]</w:t>
      </w:r>
    </w:p>
    <w:p w14:paraId="31A1E938" w14:textId="77777777" w:rsidR="006909F9" w:rsidRPr="00097F45" w:rsidRDefault="00097F45" w:rsidP="00097F45">
      <w:pPr>
        <w:pStyle w:val="Heading2"/>
        <w:spacing w:before="0"/>
        <w:jc w:val="center"/>
      </w:pPr>
      <w:r w:rsidRPr="00097F45">
        <w:t>[Insert Course Name]</w:t>
      </w:r>
    </w:p>
    <w:p w14:paraId="722FB338" w14:textId="1E665602" w:rsidR="006909F9" w:rsidRPr="009F7BCC" w:rsidRDefault="00097F45" w:rsidP="009F7BCC">
      <w:pPr>
        <w:pStyle w:val="Heading2"/>
        <w:spacing w:before="0"/>
        <w:jc w:val="center"/>
      </w:pPr>
      <w:r w:rsidRPr="00097F45">
        <w:t>[Insert Instructor Contact Information]</w:t>
      </w:r>
    </w:p>
    <w:p w14:paraId="2AFB53C2" w14:textId="77777777" w:rsidR="006909F9" w:rsidRPr="00097F45" w:rsidRDefault="006909F9" w:rsidP="00097F45">
      <w:pPr>
        <w:pStyle w:val="Heading2"/>
      </w:pPr>
      <w:r w:rsidRPr="00097F45">
        <w:t>Course Description &amp; Overview</w:t>
      </w:r>
    </w:p>
    <w:p w14:paraId="06C904A2" w14:textId="6166B7E8" w:rsidR="00193534" w:rsidRPr="00264306" w:rsidRDefault="005C6517" w:rsidP="009F7BCC">
      <w:pPr>
        <w:pStyle w:val="BodyText"/>
        <w:spacing w:after="120"/>
      </w:pPr>
      <w:r w:rsidRPr="005C6517">
        <w:t xml:space="preserve">This course provides a comprehensive introduction to </w:t>
      </w:r>
      <w:r w:rsidR="00264306">
        <w:t>Screening, Brief Intervention</w:t>
      </w:r>
      <w:r w:rsidR="00792A17">
        <w:t>,</w:t>
      </w:r>
      <w:r w:rsidR="00264306">
        <w:t xml:space="preserve"> and Referral to T</w:t>
      </w:r>
      <w:r>
        <w:t xml:space="preserve">reatment </w:t>
      </w:r>
      <w:r w:rsidR="000304BB">
        <w:t xml:space="preserve">(SBIRT) </w:t>
      </w:r>
      <w:r w:rsidR="00792A17">
        <w:t xml:space="preserve">and key </w:t>
      </w:r>
      <w:r w:rsidR="00792A17" w:rsidRPr="00183D30">
        <w:t xml:space="preserve">Motivational Interviewing (MI) </w:t>
      </w:r>
      <w:r w:rsidR="009F7BCC" w:rsidRPr="00183D30">
        <w:t>strategies</w:t>
      </w:r>
      <w:r w:rsidR="00792A17" w:rsidRPr="00183D30">
        <w:t xml:space="preserve"> to prepare students to conduct SBIRT with </w:t>
      </w:r>
      <w:r w:rsidRPr="00183D30">
        <w:t>adolescents</w:t>
      </w:r>
      <w:r w:rsidR="000304BB" w:rsidRPr="00183D30">
        <w:t xml:space="preserve"> </w:t>
      </w:r>
      <w:r w:rsidR="00264306" w:rsidRPr="00183D30">
        <w:t xml:space="preserve">and young adults </w:t>
      </w:r>
      <w:bookmarkStart w:id="0" w:name="OLE_LINK7"/>
      <w:r w:rsidR="00792A17" w:rsidRPr="00183D30">
        <w:t>ages 12-25</w:t>
      </w:r>
      <w:bookmarkEnd w:id="0"/>
      <w:r w:rsidRPr="00183D30">
        <w:t>. Case studies a</w:t>
      </w:r>
      <w:r w:rsidR="000304BB" w:rsidRPr="00183D30">
        <w:t xml:space="preserve">nd </w:t>
      </w:r>
      <w:r w:rsidR="00CC2DC6" w:rsidRPr="00183D30">
        <w:t>role play</w:t>
      </w:r>
      <w:r w:rsidRPr="00183D30">
        <w:t xml:space="preserve"> exercises </w:t>
      </w:r>
      <w:bookmarkStart w:id="1" w:name="OLE_LINK1"/>
      <w:r w:rsidR="00CC2DC6" w:rsidRPr="00183D30">
        <w:t>are utilized to reinforce learning and provide practice opportunities to apply new knowledge and skills.</w:t>
      </w:r>
    </w:p>
    <w:bookmarkEnd w:id="1"/>
    <w:p w14:paraId="68C37571" w14:textId="77777777" w:rsidR="00C16CF5" w:rsidRDefault="00A625E4" w:rsidP="009F7BCC">
      <w:pPr>
        <w:pStyle w:val="Heading2"/>
        <w:spacing w:after="120"/>
      </w:pPr>
      <w:r w:rsidRPr="00353535">
        <w:t>Assessment &amp; Grading</w:t>
      </w:r>
    </w:p>
    <w:p w14:paraId="2D7D71E7" w14:textId="5CF77CE2" w:rsidR="00A625E4" w:rsidRDefault="00A625E4" w:rsidP="00A625E4">
      <w:pPr>
        <w:pStyle w:val="BodyText"/>
      </w:pPr>
      <w:r w:rsidRPr="00FF3A39">
        <w:rPr>
          <w:b/>
          <w:i/>
        </w:rPr>
        <w:t>Student Course Performance</w:t>
      </w:r>
      <w:r w:rsidRPr="00FF3A39">
        <w:t xml:space="preserve"> will be assessed </w:t>
      </w:r>
      <w:r w:rsidR="009F7BCC">
        <w:t>using</w:t>
      </w:r>
      <w:r w:rsidRPr="00FF3A39">
        <w:t xml:space="preserve"> traditional means of course performance assessments such as exam</w:t>
      </w:r>
      <w:r w:rsidR="00CC2DC6">
        <w:t>s,</w:t>
      </w:r>
      <w:r w:rsidRPr="00FF3A39">
        <w:t xml:space="preserve"> quizzes</w:t>
      </w:r>
      <w:r w:rsidR="00CC2DC6">
        <w:t>, and homework assignments</w:t>
      </w:r>
      <w:r w:rsidRPr="00FF3A39">
        <w:t xml:space="preserve"> reflecting the curriculum </w:t>
      </w:r>
      <w:r w:rsidR="00CC2DC6">
        <w:t>content</w:t>
      </w:r>
      <w:r w:rsidRPr="00FF3A39">
        <w:t xml:space="preserve"> </w:t>
      </w:r>
      <w:r w:rsidR="009F7BCC">
        <w:t>as well as</w:t>
      </w:r>
      <w:r w:rsidRPr="00FF3A39">
        <w:t xml:space="preserve"> faculty</w:t>
      </w:r>
      <w:r w:rsidR="00CE19C8">
        <w:t>/instructor</w:t>
      </w:r>
      <w:r w:rsidRPr="00FF3A39">
        <w:t xml:space="preserve"> evaluation of the progress and performance within the guidelines of the course. Assessments will be designed to correspond to topics including but not limited to</w:t>
      </w:r>
      <w:r w:rsidR="009F7BCC">
        <w:t xml:space="preserve"> using</w:t>
      </w:r>
      <w:r w:rsidR="00CC2DC6">
        <w:t xml:space="preserve"> </w:t>
      </w:r>
      <w:r w:rsidRPr="00FF3A39">
        <w:t>screening tools to identify the full spectrum of substance use</w:t>
      </w:r>
      <w:r w:rsidR="00CC2DC6">
        <w:t xml:space="preserve"> risk</w:t>
      </w:r>
      <w:r w:rsidRPr="00FF3A39">
        <w:t xml:space="preserve">; </w:t>
      </w:r>
      <w:r w:rsidR="006D2B71">
        <w:t xml:space="preserve">conducting </w:t>
      </w:r>
      <w:r w:rsidRPr="00FF3A39">
        <w:t xml:space="preserve">brief intervention </w:t>
      </w:r>
      <w:r w:rsidR="00B11CC9">
        <w:t>using</w:t>
      </w:r>
      <w:r w:rsidR="006D2B71">
        <w:t xml:space="preserve"> MI strategies based on</w:t>
      </w:r>
      <w:r w:rsidR="00B11CC9">
        <w:t xml:space="preserve"> the </w:t>
      </w:r>
      <w:r w:rsidRPr="00FF3A39">
        <w:t>Brief Negotiated Interview</w:t>
      </w:r>
      <w:r w:rsidR="00CE19C8">
        <w:t xml:space="preserve"> (BNI) </w:t>
      </w:r>
      <w:r w:rsidR="006D2B71">
        <w:t>M</w:t>
      </w:r>
      <w:r w:rsidR="00CE19C8">
        <w:t>odel</w:t>
      </w:r>
      <w:r w:rsidR="0041298E">
        <w:t>,</w:t>
      </w:r>
      <w:r w:rsidRPr="00FF3A39">
        <w:t xml:space="preserve"> </w:t>
      </w:r>
      <w:r w:rsidR="009F7BCC">
        <w:t>using</w:t>
      </w:r>
      <w:r w:rsidR="00605E10">
        <w:t xml:space="preserve"> </w:t>
      </w:r>
      <w:r w:rsidR="006D2B71">
        <w:t xml:space="preserve">best practices in </w:t>
      </w:r>
      <w:r w:rsidR="00B11CC9">
        <w:t>referral to treatment</w:t>
      </w:r>
      <w:r w:rsidR="006D2B71">
        <w:t xml:space="preserve"> and follow-up</w:t>
      </w:r>
      <w:r w:rsidR="00B11CC9">
        <w:t xml:space="preserve"> including </w:t>
      </w:r>
      <w:r w:rsidRPr="00FF3A39">
        <w:t>linking and communicating with specialty treatment service providers</w:t>
      </w:r>
      <w:r w:rsidR="0041298E">
        <w:t xml:space="preserve"> and</w:t>
      </w:r>
      <w:r w:rsidRPr="00FF3A39">
        <w:t xml:space="preserve"> </w:t>
      </w:r>
      <w:r w:rsidR="00B11CC9">
        <w:t xml:space="preserve">working with providers in </w:t>
      </w:r>
      <w:r w:rsidRPr="00FF3A39">
        <w:t>ongoing care coordination.</w:t>
      </w:r>
    </w:p>
    <w:p w14:paraId="40877C71" w14:textId="77777777" w:rsidR="00A625E4" w:rsidRPr="00FF3A39" w:rsidRDefault="00CE19C8" w:rsidP="009F7BCC">
      <w:pPr>
        <w:pStyle w:val="BodyText"/>
        <w:spacing w:after="0" w:line="240" w:lineRule="auto"/>
      </w:pPr>
      <w:r>
        <w:t>Areas of evaluation will include</w:t>
      </w:r>
      <w:r w:rsidR="00A625E4">
        <w:t>:</w:t>
      </w:r>
    </w:p>
    <w:p w14:paraId="28BDC681" w14:textId="78BA44D4" w:rsidR="00A625E4" w:rsidRPr="00307EB9" w:rsidRDefault="00A625E4" w:rsidP="009F7BC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307EB9">
        <w:rPr>
          <w:rFonts w:ascii="Times New Roman" w:eastAsia="Calibri" w:hAnsi="Times New Roman" w:cs="Times New Roman"/>
          <w:b/>
          <w:i/>
        </w:rPr>
        <w:t>Knowledge</w:t>
      </w:r>
      <w:r w:rsidRPr="00307EB9">
        <w:rPr>
          <w:rFonts w:ascii="Times New Roman" w:eastAsia="Calibri" w:hAnsi="Times New Roman" w:cs="Times New Roman"/>
          <w:b/>
        </w:rPr>
        <w:t>:</w:t>
      </w:r>
      <w:r w:rsidRPr="00307EB9">
        <w:rPr>
          <w:rFonts w:ascii="Times New Roman" w:hAnsi="Times New Roman" w:cs="Times New Roman"/>
        </w:rPr>
        <w:t xml:space="preserve"> Knowledge </w:t>
      </w:r>
      <w:r w:rsidR="009F7BCC">
        <w:rPr>
          <w:rFonts w:ascii="Times New Roman" w:hAnsi="Times New Roman" w:cs="Times New Roman"/>
        </w:rPr>
        <w:t>about the prevalence and impact of substance use among youth, validated substance use screening tools, elements of brief intervention, MI skills, and best practices in referral and follow-up</w:t>
      </w:r>
      <w:r w:rsidRPr="00307EB9">
        <w:rPr>
          <w:rFonts w:ascii="Times New Roman" w:hAnsi="Times New Roman" w:cs="Times New Roman"/>
        </w:rPr>
        <w:t xml:space="preserve">. </w:t>
      </w:r>
    </w:p>
    <w:p w14:paraId="13751955" w14:textId="6EFC470A" w:rsidR="00A625E4" w:rsidRPr="00307EB9" w:rsidRDefault="00A625E4" w:rsidP="00A625E4">
      <w:pPr>
        <w:pStyle w:val="ListParagraph"/>
        <w:numPr>
          <w:ilvl w:val="0"/>
          <w:numId w:val="16"/>
        </w:numPr>
        <w:spacing w:before="100" w:beforeAutospacing="1"/>
        <w:rPr>
          <w:rFonts w:ascii="Times New Roman" w:hAnsi="Times New Roman" w:cs="Times New Roman"/>
        </w:rPr>
      </w:pPr>
      <w:r w:rsidRPr="00307EB9">
        <w:rPr>
          <w:rFonts w:ascii="Times New Roman" w:eastAsia="Calibri" w:hAnsi="Times New Roman" w:cs="Times New Roman"/>
          <w:b/>
          <w:i/>
        </w:rPr>
        <w:t xml:space="preserve">Attitudes: </w:t>
      </w:r>
      <w:r w:rsidR="009F7BCC">
        <w:rPr>
          <w:rFonts w:ascii="Times New Roman" w:eastAsia="Calibri" w:hAnsi="Times New Roman" w:cs="Times New Roman"/>
          <w:bCs/>
          <w:iCs/>
        </w:rPr>
        <w:t>A</w:t>
      </w:r>
      <w:r w:rsidRPr="00307EB9">
        <w:rPr>
          <w:rFonts w:ascii="Times New Roman" w:hAnsi="Times New Roman" w:cs="Times New Roman"/>
        </w:rPr>
        <w:t>ttitudes</w:t>
      </w:r>
      <w:r w:rsidR="006D2B71">
        <w:rPr>
          <w:rFonts w:ascii="Times New Roman" w:hAnsi="Times New Roman" w:cs="Times New Roman"/>
        </w:rPr>
        <w:t xml:space="preserve"> and beliefs</w:t>
      </w:r>
      <w:r w:rsidRPr="00307EB9">
        <w:rPr>
          <w:rFonts w:ascii="Times New Roman" w:hAnsi="Times New Roman" w:cs="Times New Roman"/>
        </w:rPr>
        <w:t xml:space="preserve"> </w:t>
      </w:r>
      <w:r w:rsidR="0041298E">
        <w:rPr>
          <w:rFonts w:ascii="Times New Roman" w:hAnsi="Times New Roman" w:cs="Times New Roman"/>
        </w:rPr>
        <w:t>about working with youth who use substances</w:t>
      </w:r>
      <w:r w:rsidRPr="00307EB9">
        <w:rPr>
          <w:rFonts w:ascii="Times New Roman" w:hAnsi="Times New Roman" w:cs="Times New Roman"/>
        </w:rPr>
        <w:t>.</w:t>
      </w:r>
    </w:p>
    <w:p w14:paraId="0E599CE3" w14:textId="7F0538E0" w:rsidR="00A625E4" w:rsidRPr="00307EB9" w:rsidRDefault="00A625E4" w:rsidP="00A625E4">
      <w:pPr>
        <w:pStyle w:val="ListParagraph"/>
        <w:numPr>
          <w:ilvl w:val="0"/>
          <w:numId w:val="16"/>
        </w:numPr>
        <w:spacing w:before="100" w:beforeAutospacing="1"/>
        <w:rPr>
          <w:rFonts w:ascii="Times New Roman" w:hAnsi="Times New Roman" w:cs="Times New Roman"/>
        </w:rPr>
      </w:pPr>
      <w:r w:rsidRPr="00307EB9">
        <w:rPr>
          <w:rFonts w:ascii="Times New Roman" w:eastAsia="Calibri" w:hAnsi="Times New Roman" w:cs="Times New Roman"/>
          <w:b/>
          <w:i/>
        </w:rPr>
        <w:t>Confidence and Readiness:</w:t>
      </w:r>
      <w:r w:rsidRPr="00307EB9">
        <w:rPr>
          <w:rFonts w:ascii="Times New Roman" w:hAnsi="Times New Roman" w:cs="Times New Roman"/>
          <w:i/>
        </w:rPr>
        <w:t xml:space="preserve"> </w:t>
      </w:r>
      <w:r w:rsidR="00BF44A7">
        <w:rPr>
          <w:rFonts w:ascii="Times New Roman" w:hAnsi="Times New Roman" w:cs="Times New Roman"/>
        </w:rPr>
        <w:t>P</w:t>
      </w:r>
      <w:r w:rsidRPr="00307EB9">
        <w:rPr>
          <w:rFonts w:ascii="Times New Roman" w:hAnsi="Times New Roman" w:cs="Times New Roman"/>
        </w:rPr>
        <w:t>erce</w:t>
      </w:r>
      <w:r w:rsidR="00BF44A7">
        <w:rPr>
          <w:rFonts w:ascii="Times New Roman" w:hAnsi="Times New Roman" w:cs="Times New Roman"/>
        </w:rPr>
        <w:t xml:space="preserve">ived </w:t>
      </w:r>
      <w:r w:rsidRPr="00307EB9">
        <w:rPr>
          <w:rFonts w:ascii="Times New Roman" w:hAnsi="Times New Roman" w:cs="Times New Roman"/>
        </w:rPr>
        <w:t xml:space="preserve">confidence in their ability and readiness to screen using validated tools, conduct brief intervention using MI skills, and provide referral to </w:t>
      </w:r>
      <w:r w:rsidR="000E3244">
        <w:rPr>
          <w:rFonts w:ascii="Times New Roman" w:hAnsi="Times New Roman" w:cs="Times New Roman"/>
        </w:rPr>
        <w:t>youth</w:t>
      </w:r>
      <w:r w:rsidRPr="00307EB9">
        <w:rPr>
          <w:rFonts w:ascii="Times New Roman" w:hAnsi="Times New Roman" w:cs="Times New Roman"/>
        </w:rPr>
        <w:t xml:space="preserve"> in need of further evaluation</w:t>
      </w:r>
      <w:r w:rsidR="00605E10">
        <w:rPr>
          <w:rFonts w:ascii="Times New Roman" w:hAnsi="Times New Roman" w:cs="Times New Roman"/>
        </w:rPr>
        <w:t xml:space="preserve"> or </w:t>
      </w:r>
      <w:r w:rsidR="00BF44A7">
        <w:rPr>
          <w:rFonts w:ascii="Times New Roman" w:hAnsi="Times New Roman" w:cs="Times New Roman"/>
        </w:rPr>
        <w:t xml:space="preserve">a </w:t>
      </w:r>
      <w:r w:rsidRPr="00307EB9">
        <w:rPr>
          <w:rFonts w:ascii="Times New Roman" w:hAnsi="Times New Roman" w:cs="Times New Roman"/>
        </w:rPr>
        <w:t>higher level of care.</w:t>
      </w:r>
    </w:p>
    <w:p w14:paraId="1EE45D20" w14:textId="534AB734" w:rsidR="00A625E4" w:rsidRPr="00307EB9" w:rsidRDefault="00A625E4" w:rsidP="00A625E4">
      <w:pPr>
        <w:pStyle w:val="ListParagraph"/>
        <w:numPr>
          <w:ilvl w:val="0"/>
          <w:numId w:val="16"/>
        </w:numPr>
        <w:spacing w:before="100" w:beforeAutospacing="1"/>
        <w:rPr>
          <w:rFonts w:ascii="Times New Roman" w:hAnsi="Times New Roman" w:cs="Times New Roman"/>
        </w:rPr>
      </w:pPr>
      <w:r w:rsidRPr="00307EB9">
        <w:rPr>
          <w:rFonts w:ascii="Times New Roman" w:eastAsia="Calibri" w:hAnsi="Times New Roman" w:cs="Times New Roman"/>
          <w:b/>
          <w:i/>
        </w:rPr>
        <w:t>Perceived Competence:</w:t>
      </w:r>
      <w:r w:rsidRPr="00307EB9">
        <w:rPr>
          <w:rFonts w:ascii="Times New Roman" w:hAnsi="Times New Roman" w:cs="Times New Roman"/>
          <w:i/>
        </w:rPr>
        <w:t xml:space="preserve"> </w:t>
      </w:r>
      <w:r w:rsidR="00BF44A7">
        <w:rPr>
          <w:rFonts w:ascii="Times New Roman" w:hAnsi="Times New Roman" w:cs="Times New Roman"/>
        </w:rPr>
        <w:t>P</w:t>
      </w:r>
      <w:r w:rsidRPr="00307EB9">
        <w:rPr>
          <w:rFonts w:ascii="Times New Roman" w:hAnsi="Times New Roman" w:cs="Times New Roman"/>
        </w:rPr>
        <w:t>erce</w:t>
      </w:r>
      <w:r w:rsidR="00BF44A7">
        <w:rPr>
          <w:rFonts w:ascii="Times New Roman" w:hAnsi="Times New Roman" w:cs="Times New Roman"/>
        </w:rPr>
        <w:t>ived</w:t>
      </w:r>
      <w:r w:rsidRPr="00307EB9">
        <w:rPr>
          <w:rFonts w:ascii="Times New Roman" w:hAnsi="Times New Roman" w:cs="Times New Roman"/>
        </w:rPr>
        <w:t xml:space="preserve"> competence to conduct SBIRT.  </w:t>
      </w:r>
    </w:p>
    <w:p w14:paraId="39D551FE" w14:textId="5800A0B8" w:rsidR="00A625E4" w:rsidRPr="00307EB9" w:rsidRDefault="00A625E4" w:rsidP="00A625E4">
      <w:pPr>
        <w:pStyle w:val="ListParagraph"/>
        <w:numPr>
          <w:ilvl w:val="0"/>
          <w:numId w:val="16"/>
        </w:numPr>
        <w:spacing w:before="100" w:beforeAutospacing="1"/>
        <w:rPr>
          <w:rFonts w:ascii="Times New Roman" w:hAnsi="Times New Roman" w:cs="Times New Roman"/>
        </w:rPr>
      </w:pPr>
      <w:r w:rsidRPr="00307EB9">
        <w:rPr>
          <w:rFonts w:ascii="Times New Roman" w:eastAsia="Calibri" w:hAnsi="Times New Roman" w:cs="Times New Roman"/>
          <w:b/>
          <w:i/>
        </w:rPr>
        <w:t>Skills/Proficiency in conducting Brief Intervention using Motivational Interviewing</w:t>
      </w:r>
      <w:r w:rsidR="0041298E">
        <w:rPr>
          <w:rFonts w:ascii="Times New Roman" w:eastAsia="Calibri" w:hAnsi="Times New Roman" w:cs="Times New Roman"/>
          <w:b/>
          <w:i/>
        </w:rPr>
        <w:t xml:space="preserve"> Skills</w:t>
      </w:r>
      <w:r w:rsidRPr="00307EB9">
        <w:rPr>
          <w:rFonts w:ascii="Times New Roman" w:eastAsia="Calibri" w:hAnsi="Times New Roman" w:cs="Times New Roman"/>
          <w:b/>
          <w:i/>
        </w:rPr>
        <w:t>:</w:t>
      </w:r>
      <w:r w:rsidRPr="00307EB9">
        <w:rPr>
          <w:rFonts w:ascii="Times New Roman" w:hAnsi="Times New Roman" w:cs="Times New Roman"/>
          <w:i/>
        </w:rPr>
        <w:t xml:space="preserve">  </w:t>
      </w:r>
      <w:r w:rsidR="00BF44A7">
        <w:rPr>
          <w:rFonts w:ascii="Times New Roman" w:hAnsi="Times New Roman" w:cs="Times New Roman"/>
        </w:rPr>
        <w:t>P</w:t>
      </w:r>
      <w:r w:rsidRPr="00307EB9">
        <w:rPr>
          <w:rFonts w:ascii="Times New Roman" w:hAnsi="Times New Roman" w:cs="Times New Roman"/>
        </w:rPr>
        <w:t xml:space="preserve">roficiency </w:t>
      </w:r>
      <w:r w:rsidR="00BF44A7">
        <w:rPr>
          <w:rFonts w:ascii="Times New Roman" w:hAnsi="Times New Roman" w:cs="Times New Roman"/>
        </w:rPr>
        <w:t xml:space="preserve">in delivering </w:t>
      </w:r>
      <w:r w:rsidRPr="00307EB9">
        <w:rPr>
          <w:rFonts w:ascii="Times New Roman" w:hAnsi="Times New Roman" w:cs="Times New Roman"/>
        </w:rPr>
        <w:t xml:space="preserve">brief intervention using MI strategies will be measured through </w:t>
      </w:r>
      <w:r w:rsidR="00B11CC9">
        <w:rPr>
          <w:rFonts w:ascii="Times New Roman" w:hAnsi="Times New Roman" w:cs="Times New Roman"/>
        </w:rPr>
        <w:t xml:space="preserve">the use of Brief Intervention Observation Sheets (BIOS) to assess fidelity and quality </w:t>
      </w:r>
      <w:r w:rsidR="00BF44A7">
        <w:rPr>
          <w:rFonts w:ascii="Times New Roman" w:hAnsi="Times New Roman" w:cs="Times New Roman"/>
        </w:rPr>
        <w:t>during</w:t>
      </w:r>
      <w:r w:rsidR="00B11CC9">
        <w:rPr>
          <w:rFonts w:ascii="Times New Roman" w:hAnsi="Times New Roman" w:cs="Times New Roman"/>
        </w:rPr>
        <w:t xml:space="preserve"> role play</w:t>
      </w:r>
      <w:r w:rsidR="00605E10">
        <w:rPr>
          <w:rFonts w:ascii="Times New Roman" w:hAnsi="Times New Roman" w:cs="Times New Roman"/>
        </w:rPr>
        <w:t xml:space="preserve"> exercises</w:t>
      </w:r>
      <w:r w:rsidR="00B11CC9">
        <w:rPr>
          <w:rFonts w:ascii="Times New Roman" w:hAnsi="Times New Roman" w:cs="Times New Roman"/>
        </w:rPr>
        <w:t>. For those using the</w:t>
      </w:r>
      <w:r w:rsidR="00B21C8F">
        <w:rPr>
          <w:rFonts w:ascii="Times New Roman" w:hAnsi="Times New Roman" w:cs="Times New Roman"/>
        </w:rPr>
        <w:t xml:space="preserve"> </w:t>
      </w:r>
      <w:r w:rsidR="00BF44A7">
        <w:rPr>
          <w:rFonts w:ascii="Times New Roman" w:hAnsi="Times New Roman" w:cs="Times New Roman"/>
        </w:rPr>
        <w:t>online</w:t>
      </w:r>
      <w:r w:rsidR="00B11CC9">
        <w:rPr>
          <w:rFonts w:ascii="Times New Roman" w:hAnsi="Times New Roman" w:cs="Times New Roman"/>
        </w:rPr>
        <w:t xml:space="preserve"> </w:t>
      </w:r>
      <w:r w:rsidRPr="00307EB9">
        <w:rPr>
          <w:rFonts w:ascii="Times New Roman" w:hAnsi="Times New Roman" w:cs="Times New Roman"/>
        </w:rPr>
        <w:t>interactive simulation training</w:t>
      </w:r>
      <w:r w:rsidR="00B21C8F">
        <w:rPr>
          <w:rFonts w:ascii="Times New Roman" w:hAnsi="Times New Roman" w:cs="Times New Roman"/>
        </w:rPr>
        <w:t xml:space="preserve"> </w:t>
      </w:r>
      <w:r w:rsidR="00B21C8F" w:rsidRPr="00BF44A7">
        <w:rPr>
          <w:rFonts w:ascii="Times New Roman" w:hAnsi="Times New Roman" w:cs="Times New Roman"/>
          <w:i/>
          <w:iCs/>
        </w:rPr>
        <w:t>SBI with Adolescents</w:t>
      </w:r>
      <w:r w:rsidR="00BF44A7">
        <w:rPr>
          <w:rFonts w:ascii="Times New Roman" w:hAnsi="Times New Roman" w:cs="Times New Roman"/>
          <w:i/>
          <w:iCs/>
        </w:rPr>
        <w:t>®</w:t>
      </w:r>
      <w:r w:rsidR="00B21C8F" w:rsidRPr="00307EB9">
        <w:rPr>
          <w:rFonts w:ascii="Times New Roman" w:hAnsi="Times New Roman" w:cs="Times New Roman"/>
        </w:rPr>
        <w:t xml:space="preserve"> </w:t>
      </w:r>
      <w:r w:rsidR="00B21C8F">
        <w:rPr>
          <w:rFonts w:ascii="Times New Roman" w:hAnsi="Times New Roman" w:cs="Times New Roman"/>
        </w:rPr>
        <w:t>developed by NORC and Kognito</w:t>
      </w:r>
      <w:r w:rsidR="00B11CC9">
        <w:rPr>
          <w:rFonts w:ascii="Times New Roman" w:hAnsi="Times New Roman" w:cs="Times New Roman"/>
        </w:rPr>
        <w:t xml:space="preserve">, </w:t>
      </w:r>
      <w:r w:rsidR="00B21C8F">
        <w:rPr>
          <w:rFonts w:ascii="Times New Roman" w:hAnsi="Times New Roman" w:cs="Times New Roman"/>
        </w:rPr>
        <w:t>the</w:t>
      </w:r>
      <w:r w:rsidRPr="00307EB9">
        <w:rPr>
          <w:rFonts w:ascii="Times New Roman" w:hAnsi="Times New Roman" w:cs="Times New Roman"/>
        </w:rPr>
        <w:t xml:space="preserve"> </w:t>
      </w:r>
      <w:r w:rsidR="00B11CC9">
        <w:rPr>
          <w:rFonts w:ascii="Times New Roman" w:hAnsi="Times New Roman" w:cs="Times New Roman"/>
        </w:rPr>
        <w:t xml:space="preserve">program </w:t>
      </w:r>
      <w:r w:rsidR="00EE0D16">
        <w:rPr>
          <w:rFonts w:ascii="Times New Roman" w:hAnsi="Times New Roman" w:cs="Times New Roman"/>
        </w:rPr>
        <w:t xml:space="preserve">will </w:t>
      </w:r>
      <w:r w:rsidR="00EE0D16" w:rsidRPr="00307EB9">
        <w:rPr>
          <w:rFonts w:ascii="Times New Roman" w:hAnsi="Times New Roman" w:cs="Times New Roman"/>
        </w:rPr>
        <w:t xml:space="preserve">report </w:t>
      </w:r>
      <w:r w:rsidR="00EE0D16">
        <w:rPr>
          <w:rFonts w:ascii="Times New Roman" w:hAnsi="Times New Roman" w:cs="Times New Roman"/>
        </w:rPr>
        <w:t xml:space="preserve">a competency assessment score indicating </w:t>
      </w:r>
      <w:r w:rsidR="00EE0D16" w:rsidRPr="00307EB9">
        <w:rPr>
          <w:rFonts w:ascii="Times New Roman" w:hAnsi="Times New Roman" w:cs="Times New Roman"/>
        </w:rPr>
        <w:t>how well each student was able to apply critical skills in a simulated clinical encounter</w:t>
      </w:r>
      <w:r w:rsidR="00EE0D16">
        <w:rPr>
          <w:rFonts w:ascii="Times New Roman" w:hAnsi="Times New Roman" w:cs="Times New Roman"/>
        </w:rPr>
        <w:t xml:space="preserve"> </w:t>
      </w:r>
      <w:r w:rsidRPr="00307EB9">
        <w:rPr>
          <w:rFonts w:ascii="Times New Roman" w:hAnsi="Times New Roman" w:cs="Times New Roman"/>
        </w:rPr>
        <w:t xml:space="preserve">based on the BNI skills assessment </w:t>
      </w:r>
      <w:r w:rsidR="00EE0D16">
        <w:rPr>
          <w:rFonts w:ascii="Times New Roman" w:hAnsi="Times New Roman" w:cs="Times New Roman"/>
        </w:rPr>
        <w:t xml:space="preserve">traditionally </w:t>
      </w:r>
      <w:r w:rsidRPr="00307EB9">
        <w:rPr>
          <w:rFonts w:ascii="Times New Roman" w:hAnsi="Times New Roman" w:cs="Times New Roman"/>
        </w:rPr>
        <w:t>used in standardized patient</w:t>
      </w:r>
      <w:r w:rsidR="00B21C8F">
        <w:rPr>
          <w:rFonts w:ascii="Times New Roman" w:hAnsi="Times New Roman" w:cs="Times New Roman"/>
        </w:rPr>
        <w:t>/client</w:t>
      </w:r>
      <w:r w:rsidRPr="00307EB9">
        <w:rPr>
          <w:rFonts w:ascii="Times New Roman" w:hAnsi="Times New Roman" w:cs="Times New Roman"/>
        </w:rPr>
        <w:t xml:space="preserve"> simulations and observed clinical encounters.  </w:t>
      </w:r>
    </w:p>
    <w:p w14:paraId="47B74E0C" w14:textId="370D0CC9" w:rsidR="00A625E4" w:rsidRPr="00307EB9" w:rsidRDefault="00A625E4" w:rsidP="00307EB9">
      <w:pPr>
        <w:pStyle w:val="BodyText"/>
      </w:pPr>
      <w:r w:rsidRPr="00307EB9">
        <w:lastRenderedPageBreak/>
        <w:t>The course curri</w:t>
      </w:r>
      <w:r w:rsidR="00AF35F5">
        <w:t>culum will culminate in student</w:t>
      </w:r>
      <w:r w:rsidRPr="00307EB9">
        <w:t>s having real client experiences. Students will utilize</w:t>
      </w:r>
      <w:r w:rsidR="0035141E">
        <w:t xml:space="preserve"> and apply</w:t>
      </w:r>
      <w:r w:rsidRPr="00307EB9">
        <w:t xml:space="preserve"> the </w:t>
      </w:r>
      <w:r w:rsidR="0035141E">
        <w:t xml:space="preserve">knowledge and </w:t>
      </w:r>
      <w:r w:rsidRPr="00307EB9">
        <w:t>skill</w:t>
      </w:r>
      <w:r w:rsidR="0035141E">
        <w:t>s</w:t>
      </w:r>
      <w:r w:rsidRPr="00307EB9">
        <w:t xml:space="preserve"> in their approach to service with </w:t>
      </w:r>
      <w:r w:rsidR="00605E10">
        <w:t>patients/</w:t>
      </w:r>
      <w:r w:rsidRPr="00307EB9">
        <w:t xml:space="preserve">clients. Student use of validated screening instruments, </w:t>
      </w:r>
      <w:r w:rsidR="00BF44A7">
        <w:t xml:space="preserve">delivery of </w:t>
      </w:r>
      <w:r w:rsidRPr="00307EB9">
        <w:t>brief intervention</w:t>
      </w:r>
      <w:r w:rsidR="00BF44A7">
        <w:t xml:space="preserve"> using</w:t>
      </w:r>
      <w:r w:rsidRPr="00307EB9">
        <w:t xml:space="preserve"> MI</w:t>
      </w:r>
      <w:r w:rsidR="0035141E">
        <w:t xml:space="preserve"> skills</w:t>
      </w:r>
      <w:r w:rsidRPr="00307EB9">
        <w:t xml:space="preserve">, and </w:t>
      </w:r>
      <w:r w:rsidR="00BF44A7">
        <w:t xml:space="preserve">providing </w:t>
      </w:r>
      <w:r w:rsidRPr="00307EB9">
        <w:t>referral will be assessed by the faculty</w:t>
      </w:r>
      <w:r w:rsidR="00BF44A7">
        <w:t>/instructor</w:t>
      </w:r>
      <w:r w:rsidRPr="00307EB9">
        <w:t xml:space="preserve"> during the standardized patient</w:t>
      </w:r>
      <w:r w:rsidR="00FC4224">
        <w:t xml:space="preserve">/client </w:t>
      </w:r>
      <w:r w:rsidRPr="00307EB9">
        <w:t>role play simulation and feedback sessions</w:t>
      </w:r>
      <w:r w:rsidR="00BF44A7">
        <w:t xml:space="preserve"> as well as</w:t>
      </w:r>
      <w:r w:rsidRPr="00307EB9">
        <w:t xml:space="preserve"> by field </w:t>
      </w:r>
      <w:r w:rsidR="0088182A">
        <w:t>instructors</w:t>
      </w:r>
      <w:r w:rsidR="00B11CC9">
        <w:t>/preceptors</w:t>
      </w:r>
      <w:r w:rsidRPr="00307EB9">
        <w:t xml:space="preserve"> during SBIRT clinical encounters. </w:t>
      </w:r>
      <w:r w:rsidR="00B11CC9">
        <w:t>Students</w:t>
      </w:r>
      <w:r w:rsidR="00B11CC9" w:rsidRPr="00307EB9">
        <w:t xml:space="preserve"> </w:t>
      </w:r>
      <w:r w:rsidRPr="00307EB9">
        <w:t xml:space="preserve">will receive feedback on their results and performance with the respective exercises.  </w:t>
      </w:r>
    </w:p>
    <w:p w14:paraId="5E39F4DB" w14:textId="77777777" w:rsidR="00A625E4" w:rsidRPr="006909F9" w:rsidRDefault="00A625E4" w:rsidP="00A625E4">
      <w:pPr>
        <w:pStyle w:val="Heading2"/>
        <w:rPr>
          <w:rFonts w:ascii="Tahoma" w:eastAsia="Times New Roman" w:hAnsi="Tahoma" w:cs="Tahoma"/>
          <w:b w:val="0"/>
          <w:bCs w:val="0"/>
          <w:color w:val="01758C"/>
          <w:sz w:val="23"/>
          <w:szCs w:val="23"/>
          <w:bdr w:val="none" w:sz="0" w:space="0" w:color="auto" w:frame="1"/>
        </w:rPr>
      </w:pPr>
      <w:r w:rsidRPr="00353535">
        <w:t>General Course Information</w:t>
      </w:r>
    </w:p>
    <w:p w14:paraId="70734EDF" w14:textId="401E4229" w:rsidR="00853C2A" w:rsidRDefault="00CC514D">
      <w:pPr>
        <w:spacing w:after="24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The five modules of this course will introduce you to </w:t>
      </w:r>
      <w:r w:rsidR="00FC5BD3">
        <w:rPr>
          <w:rFonts w:ascii="Times New Roman" w:eastAsia="Calibri" w:hAnsi="Times New Roman" w:cs="Times New Roman"/>
        </w:rPr>
        <w:t>SBIRT</w:t>
      </w:r>
      <w:r>
        <w:rPr>
          <w:rFonts w:ascii="Times New Roman" w:eastAsia="Calibri" w:hAnsi="Times New Roman" w:cs="Times New Roman"/>
        </w:rPr>
        <w:t xml:space="preserve"> </w:t>
      </w:r>
      <w:r w:rsidR="00BF44A7">
        <w:rPr>
          <w:rFonts w:ascii="Times New Roman" w:eastAsia="Calibri" w:hAnsi="Times New Roman" w:cs="Times New Roman"/>
        </w:rPr>
        <w:t xml:space="preserve">using </w:t>
      </w:r>
      <w:r w:rsidR="00FC5BD3">
        <w:rPr>
          <w:rFonts w:ascii="Times New Roman" w:eastAsia="Calibri" w:hAnsi="Times New Roman" w:cs="Times New Roman"/>
        </w:rPr>
        <w:t xml:space="preserve">MI </w:t>
      </w:r>
      <w:r w:rsidR="003C2556">
        <w:rPr>
          <w:rFonts w:ascii="Times New Roman" w:eastAsia="Calibri" w:hAnsi="Times New Roman" w:cs="Times New Roman"/>
        </w:rPr>
        <w:t xml:space="preserve">with </w:t>
      </w:r>
      <w:r w:rsidR="006C21F3">
        <w:rPr>
          <w:rFonts w:ascii="Times New Roman" w:eastAsia="Calibri" w:hAnsi="Times New Roman" w:cs="Times New Roman"/>
        </w:rPr>
        <w:t>a</w:t>
      </w:r>
      <w:r>
        <w:rPr>
          <w:rFonts w:ascii="Times New Roman" w:eastAsia="Calibri" w:hAnsi="Times New Roman" w:cs="Times New Roman"/>
        </w:rPr>
        <w:t>dolescents</w:t>
      </w:r>
      <w:r w:rsidR="006C21F3">
        <w:rPr>
          <w:rFonts w:ascii="Times New Roman" w:eastAsia="Calibri" w:hAnsi="Times New Roman" w:cs="Times New Roman"/>
        </w:rPr>
        <w:t xml:space="preserve"> and young adults</w:t>
      </w:r>
      <w:r w:rsidR="003C2556">
        <w:rPr>
          <w:rFonts w:ascii="Times New Roman" w:eastAsia="Calibri" w:hAnsi="Times New Roman" w:cs="Times New Roman"/>
        </w:rPr>
        <w:t xml:space="preserve"> </w:t>
      </w:r>
      <w:r w:rsidR="003C2556" w:rsidRPr="003C2556">
        <w:rPr>
          <w:rFonts w:ascii="Times New Roman" w:eastAsia="Calibri" w:hAnsi="Times New Roman" w:cs="Times New Roman"/>
        </w:rPr>
        <w:t>ages 12-25</w:t>
      </w:r>
      <w:r>
        <w:rPr>
          <w:rFonts w:ascii="Times New Roman" w:eastAsia="Calibri" w:hAnsi="Times New Roman" w:cs="Times New Roman"/>
        </w:rPr>
        <w:t xml:space="preserve">. You will learn about </w:t>
      </w:r>
      <w:r w:rsidR="006C21F3">
        <w:rPr>
          <w:rFonts w:ascii="Times New Roman" w:eastAsia="Calibri" w:hAnsi="Times New Roman" w:cs="Times New Roman"/>
        </w:rPr>
        <w:t>youth</w:t>
      </w:r>
      <w:r>
        <w:rPr>
          <w:rFonts w:ascii="Times New Roman" w:eastAsia="Calibri" w:hAnsi="Times New Roman" w:cs="Times New Roman"/>
        </w:rPr>
        <w:t xml:space="preserve"> substance use and how to implement each component</w:t>
      </w:r>
      <w:r w:rsidR="00FC5BD3">
        <w:rPr>
          <w:rFonts w:ascii="Times New Roman" w:eastAsia="Calibri" w:hAnsi="Times New Roman" w:cs="Times New Roman"/>
        </w:rPr>
        <w:t xml:space="preserve"> of </w:t>
      </w:r>
      <w:r>
        <w:rPr>
          <w:rFonts w:ascii="Times New Roman" w:eastAsia="Calibri" w:hAnsi="Times New Roman" w:cs="Times New Roman"/>
        </w:rPr>
        <w:t xml:space="preserve">SBIRT. Each module corresponds to a different module of the </w:t>
      </w:r>
      <w:r w:rsidR="003C2556" w:rsidRPr="00FC5BD3">
        <w:rPr>
          <w:rFonts w:ascii="Times New Roman" w:eastAsia="Calibri" w:hAnsi="Times New Roman" w:cs="Times New Roman"/>
          <w:i/>
          <w:iCs/>
        </w:rPr>
        <w:t xml:space="preserve">Adolescent SBIRT </w:t>
      </w:r>
      <w:r w:rsidRPr="00FC5BD3">
        <w:rPr>
          <w:rFonts w:ascii="Times New Roman" w:eastAsia="Calibri" w:hAnsi="Times New Roman" w:cs="Times New Roman"/>
          <w:i/>
          <w:iCs/>
        </w:rPr>
        <w:t>Learner’s Guide</w:t>
      </w:r>
      <w:r>
        <w:rPr>
          <w:rFonts w:ascii="Times New Roman" w:eastAsia="Calibri" w:hAnsi="Times New Roman" w:cs="Times New Roman"/>
        </w:rPr>
        <w:t xml:space="preserve"> and has accompanying suggested readings. </w:t>
      </w:r>
      <w:r w:rsidR="006C21F3">
        <w:rPr>
          <w:rFonts w:ascii="Times New Roman" w:eastAsia="Calibri" w:hAnsi="Times New Roman" w:cs="Times New Roman"/>
        </w:rPr>
        <w:t>Some of these</w:t>
      </w:r>
      <w:r>
        <w:rPr>
          <w:rFonts w:ascii="Times New Roman" w:eastAsia="Calibri" w:hAnsi="Times New Roman" w:cs="Times New Roman"/>
        </w:rPr>
        <w:t xml:space="preserve"> materials are available on the Adolescent SBIRT </w:t>
      </w:r>
      <w:r w:rsidR="006C21F3">
        <w:rPr>
          <w:rFonts w:ascii="Times New Roman" w:eastAsia="Calibri" w:hAnsi="Times New Roman" w:cs="Times New Roman"/>
        </w:rPr>
        <w:t xml:space="preserve">Initiative </w:t>
      </w:r>
      <w:r>
        <w:rPr>
          <w:rFonts w:ascii="Times New Roman" w:eastAsia="Calibri" w:hAnsi="Times New Roman" w:cs="Times New Roman"/>
        </w:rPr>
        <w:t>website (</w:t>
      </w:r>
      <w:hyperlink r:id="rId6" w:history="1">
        <w:r w:rsidRPr="00917768">
          <w:rPr>
            <w:rFonts w:ascii="Times New Roman" w:eastAsia="Calibri" w:hAnsi="Times New Roman" w:cs="Times New Roman"/>
            <w:color w:val="5B9BD5" w:themeColor="accent1"/>
            <w:u w:val="single"/>
          </w:rPr>
          <w:t>http://sbirt.webs.com/curriculum</w:t>
        </w:r>
      </w:hyperlink>
      <w:r w:rsidR="003C5855">
        <w:rPr>
          <w:rFonts w:ascii="Times New Roman" w:eastAsia="Calibri" w:hAnsi="Times New Roman" w:cs="Times New Roman"/>
        </w:rPr>
        <w:t>)</w:t>
      </w:r>
      <w:r w:rsidR="006C21F3">
        <w:rPr>
          <w:rFonts w:ascii="Times New Roman" w:eastAsia="Calibri" w:hAnsi="Times New Roman" w:cs="Times New Roman"/>
        </w:rPr>
        <w:t xml:space="preserve"> and others are available through library</w:t>
      </w:r>
      <w:r w:rsidR="003C2556">
        <w:rPr>
          <w:rFonts w:ascii="Times New Roman" w:eastAsia="Calibri" w:hAnsi="Times New Roman" w:cs="Times New Roman"/>
        </w:rPr>
        <w:t xml:space="preserve"> resources</w:t>
      </w:r>
      <w:r w:rsidR="006C21F3">
        <w:rPr>
          <w:rFonts w:ascii="Times New Roman" w:eastAsia="Calibri" w:hAnsi="Times New Roman" w:cs="Times New Roman"/>
        </w:rPr>
        <w:t>.</w:t>
      </w:r>
      <w:r w:rsidR="003C585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Sample dialog</w:t>
      </w:r>
      <w:r w:rsidR="0037720F">
        <w:rPr>
          <w:rFonts w:ascii="Times New Roman" w:eastAsia="Calibri" w:hAnsi="Times New Roman" w:cs="Times New Roman"/>
        </w:rPr>
        <w:t>ue</w:t>
      </w:r>
      <w:r>
        <w:rPr>
          <w:rFonts w:ascii="Times New Roman" w:eastAsia="Calibri" w:hAnsi="Times New Roman" w:cs="Times New Roman"/>
        </w:rPr>
        <w:t>, sample interactions</w:t>
      </w:r>
      <w:r w:rsidR="0037720F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and role play exercises included in the </w:t>
      </w:r>
      <w:r w:rsidR="006C21F3">
        <w:rPr>
          <w:rFonts w:ascii="Times New Roman" w:eastAsia="Calibri" w:hAnsi="Times New Roman" w:cs="Times New Roman"/>
        </w:rPr>
        <w:t>course</w:t>
      </w:r>
      <w:r>
        <w:rPr>
          <w:rFonts w:ascii="Times New Roman" w:eastAsia="Calibri" w:hAnsi="Times New Roman" w:cs="Times New Roman"/>
        </w:rPr>
        <w:t xml:space="preserve"> are an important part of the learning experience</w:t>
      </w:r>
      <w:r w:rsidR="0037720F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which will help students transition into the role of practitioner. </w:t>
      </w:r>
      <w:r w:rsidR="00970D69">
        <w:rPr>
          <w:rFonts w:ascii="Times New Roman" w:eastAsia="Calibri" w:hAnsi="Times New Roman" w:cs="Times New Roman"/>
        </w:rPr>
        <w:t>F</w:t>
      </w:r>
      <w:r>
        <w:rPr>
          <w:rFonts w:ascii="Times New Roman" w:eastAsia="Calibri" w:hAnsi="Times New Roman" w:cs="Times New Roman"/>
        </w:rPr>
        <w:t xml:space="preserve">or those using </w:t>
      </w:r>
      <w:r w:rsidR="00FC5BD3">
        <w:rPr>
          <w:rFonts w:ascii="Times New Roman" w:eastAsia="Calibri" w:hAnsi="Times New Roman" w:cs="Times New Roman"/>
        </w:rPr>
        <w:t xml:space="preserve">online </w:t>
      </w:r>
      <w:r>
        <w:rPr>
          <w:rFonts w:ascii="Times New Roman" w:eastAsia="Calibri" w:hAnsi="Times New Roman" w:cs="Times New Roman"/>
        </w:rPr>
        <w:t xml:space="preserve">interactive simulation training developed by NORC and Kognito, students will practice </w:t>
      </w:r>
      <w:r w:rsidR="00970D69">
        <w:rPr>
          <w:rFonts w:ascii="Times New Roman" w:eastAsia="Calibri" w:hAnsi="Times New Roman" w:cs="Times New Roman"/>
        </w:rPr>
        <w:t xml:space="preserve">SBIRT and MI skills </w:t>
      </w:r>
      <w:r>
        <w:rPr>
          <w:rFonts w:ascii="Times New Roman" w:eastAsia="Calibri" w:hAnsi="Times New Roman" w:cs="Times New Roman"/>
        </w:rPr>
        <w:t>in a simulated environment. The simulation program compl</w:t>
      </w:r>
      <w:r w:rsidR="00970D69">
        <w:rPr>
          <w:rFonts w:ascii="Times New Roman" w:eastAsia="Calibri" w:hAnsi="Times New Roman" w:cs="Times New Roman"/>
        </w:rPr>
        <w:t>e</w:t>
      </w:r>
      <w:r>
        <w:rPr>
          <w:rFonts w:ascii="Times New Roman" w:eastAsia="Calibri" w:hAnsi="Times New Roman" w:cs="Times New Roman"/>
        </w:rPr>
        <w:t xml:space="preserve">ments </w:t>
      </w:r>
      <w:r w:rsidR="00970D69">
        <w:rPr>
          <w:rFonts w:ascii="Times New Roman" w:eastAsia="Calibri" w:hAnsi="Times New Roman" w:cs="Times New Roman"/>
        </w:rPr>
        <w:t xml:space="preserve">the </w:t>
      </w:r>
      <w:r>
        <w:rPr>
          <w:rFonts w:ascii="Times New Roman" w:eastAsia="Calibri" w:hAnsi="Times New Roman" w:cs="Times New Roman"/>
        </w:rPr>
        <w:t>education contained in the Learner’s Guide.</w:t>
      </w:r>
      <w:r w:rsidR="008D4A8E">
        <w:rPr>
          <w:rFonts w:ascii="Times New Roman" w:eastAsia="Calibri" w:hAnsi="Times New Roman" w:cs="Times New Roman"/>
        </w:rPr>
        <w:t xml:space="preserve">  </w:t>
      </w:r>
    </w:p>
    <w:p w14:paraId="7A9B3669" w14:textId="20B30749" w:rsidR="00083BAB" w:rsidRPr="00083BAB" w:rsidRDefault="00083BAB" w:rsidP="00083BAB">
      <w:pPr>
        <w:pStyle w:val="ListParagraph"/>
        <w:numPr>
          <w:ilvl w:val="0"/>
          <w:numId w:val="25"/>
        </w:numPr>
        <w:spacing w:after="240" w:line="276" w:lineRule="auto"/>
        <w:rPr>
          <w:rFonts w:ascii="Times New Roman" w:eastAsia="Calibri" w:hAnsi="Times New Roman" w:cs="Times New Roman"/>
        </w:rPr>
      </w:pPr>
      <w:bookmarkStart w:id="2" w:name="_Hlk126076219"/>
      <w:r w:rsidRPr="00083BAB">
        <w:rPr>
          <w:rFonts w:ascii="Times New Roman" w:eastAsia="Calibri" w:hAnsi="Times New Roman" w:cs="Times New Roman"/>
        </w:rPr>
        <w:t xml:space="preserve">McPherson, T., Cohen, H., Storie, M., Harris, B., Calabrese, G., Drymon, C., Avripas, S., DeBroux, C., &amp; Sublett, F. (2023). </w:t>
      </w:r>
      <w:r w:rsidRPr="00083BAB">
        <w:rPr>
          <w:rFonts w:ascii="Times New Roman" w:eastAsia="Calibri" w:hAnsi="Times New Roman" w:cs="Times New Roman"/>
          <w:i/>
          <w:iCs/>
        </w:rPr>
        <w:t>Adolescent Screening, Brief Intervention and Referral to Treatment (SBIRT) Learner’s Guide</w:t>
      </w:r>
      <w:r w:rsidRPr="00083BAB">
        <w:rPr>
          <w:rFonts w:ascii="Times New Roman" w:eastAsia="Calibri" w:hAnsi="Times New Roman" w:cs="Times New Roman"/>
        </w:rPr>
        <w:t>. Bethesda, MD: NORC at the University of Chicago.</w:t>
      </w:r>
    </w:p>
    <w:bookmarkEnd w:id="2"/>
    <w:p w14:paraId="79294CCC" w14:textId="5B29DC02" w:rsidR="003F749E" w:rsidRPr="008D4A8E" w:rsidRDefault="008D4A8E" w:rsidP="008D4A8E">
      <w:pPr>
        <w:pStyle w:val="ListParagraph"/>
        <w:numPr>
          <w:ilvl w:val="0"/>
          <w:numId w:val="25"/>
        </w:numPr>
        <w:spacing w:after="240" w:line="276" w:lineRule="auto"/>
        <w:rPr>
          <w:rFonts w:ascii="Times New Roman" w:eastAsia="Calibri" w:hAnsi="Times New Roman" w:cs="Times New Roman"/>
        </w:rPr>
      </w:pPr>
      <w:r w:rsidRPr="008D4A8E">
        <w:rPr>
          <w:rFonts w:ascii="Times New Roman" w:eastAsia="Calibri" w:hAnsi="Times New Roman" w:cs="Times New Roman"/>
        </w:rPr>
        <w:t xml:space="preserve">Interactive Simulation: </w:t>
      </w:r>
      <w:r w:rsidR="003F749E" w:rsidRPr="008D4A8E">
        <w:rPr>
          <w:rFonts w:ascii="Times New Roman" w:eastAsia="Calibri" w:hAnsi="Times New Roman" w:cs="Times New Roman"/>
          <w:i/>
        </w:rPr>
        <w:t>SBI with Adolescents</w:t>
      </w:r>
      <w:r w:rsidRPr="008D4A8E">
        <w:rPr>
          <w:rFonts w:ascii="Times New Roman" w:eastAsia="Calibri" w:hAnsi="Times New Roman" w:cs="Times New Roman"/>
          <w:i/>
        </w:rPr>
        <w:t xml:space="preserve"> </w:t>
      </w:r>
      <w:r w:rsidR="0041298E">
        <w:rPr>
          <w:rFonts w:ascii="Times New Roman" w:eastAsia="Calibri" w:hAnsi="Times New Roman" w:cs="Times New Roman"/>
        </w:rPr>
        <w:t xml:space="preserve">and </w:t>
      </w:r>
      <w:r w:rsidR="0041298E">
        <w:rPr>
          <w:rFonts w:ascii="Times New Roman" w:eastAsia="Calibri" w:hAnsi="Times New Roman" w:cs="Times New Roman"/>
          <w:i/>
          <w:iCs/>
        </w:rPr>
        <w:t xml:space="preserve">SBI with Adolescents: Comorbid Substance Use and Mental Health </w:t>
      </w:r>
      <w:r w:rsidR="0041298E">
        <w:rPr>
          <w:rFonts w:ascii="Times New Roman" w:eastAsia="Calibri" w:hAnsi="Times New Roman" w:cs="Times New Roman"/>
        </w:rPr>
        <w:t>i</w:t>
      </w:r>
      <w:r>
        <w:rPr>
          <w:rFonts w:ascii="Times New Roman" w:eastAsia="Calibri" w:hAnsi="Times New Roman" w:cs="Times New Roman"/>
        </w:rPr>
        <w:t>s d</w:t>
      </w:r>
      <w:r w:rsidRPr="008D4A8E">
        <w:rPr>
          <w:rFonts w:ascii="Times New Roman" w:eastAsia="Calibri" w:hAnsi="Times New Roman" w:cs="Times New Roman"/>
        </w:rPr>
        <w:t>eveloped by NORC at the University of Chicago and Kognito with support from the Conrad N. Hilton Foundation.</w:t>
      </w:r>
    </w:p>
    <w:p w14:paraId="4074270B" w14:textId="77777777" w:rsidR="003F749E" w:rsidRDefault="003F749E">
      <w:pPr>
        <w:spacing w:after="240" w:line="276" w:lineRule="auto"/>
        <w:rPr>
          <w:rFonts w:ascii="Times New Roman" w:eastAsia="Calibri" w:hAnsi="Times New Roman" w:cs="Times New Roman"/>
        </w:rPr>
      </w:pPr>
    </w:p>
    <w:p w14:paraId="430AB16E" w14:textId="77777777" w:rsidR="003F749E" w:rsidRDefault="003F749E">
      <w:pPr>
        <w:spacing w:after="240" w:line="276" w:lineRule="auto"/>
        <w:rPr>
          <w:rFonts w:ascii="Times New Roman" w:eastAsia="Calibri" w:hAnsi="Times New Roman" w:cs="Times New Roman"/>
        </w:rPr>
        <w:sectPr w:rsidR="003F749E" w:rsidSect="00B0773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590"/>
        <w:gridCol w:w="8275"/>
      </w:tblGrid>
      <w:tr w:rsidR="00853C2A" w14:paraId="43CFE9E1" w14:textId="77777777" w:rsidTr="00DF71DB">
        <w:tc>
          <w:tcPr>
            <w:tcW w:w="1525" w:type="dxa"/>
            <w:shd w:val="clear" w:color="auto" w:fill="DEEAF6" w:themeFill="accent1" w:themeFillTint="33"/>
          </w:tcPr>
          <w:p w14:paraId="0C459A09" w14:textId="77777777" w:rsidR="00853C2A" w:rsidRPr="00F110C9" w:rsidRDefault="00853C2A" w:rsidP="00853C2A">
            <w:pPr>
              <w:pStyle w:val="Subtitle"/>
            </w:pPr>
            <w:r w:rsidRPr="00F110C9">
              <w:lastRenderedPageBreak/>
              <w:t>Module</w:t>
            </w:r>
          </w:p>
        </w:tc>
        <w:tc>
          <w:tcPr>
            <w:tcW w:w="4590" w:type="dxa"/>
            <w:shd w:val="clear" w:color="auto" w:fill="DEEAF6" w:themeFill="accent1" w:themeFillTint="33"/>
          </w:tcPr>
          <w:p w14:paraId="65331346" w14:textId="77777777" w:rsidR="00853C2A" w:rsidRPr="00F110C9" w:rsidRDefault="00853C2A" w:rsidP="00853C2A">
            <w:pPr>
              <w:pStyle w:val="Subtitle"/>
            </w:pPr>
            <w:r w:rsidRPr="00F110C9">
              <w:t>Learning Objectives</w:t>
            </w:r>
          </w:p>
        </w:tc>
        <w:tc>
          <w:tcPr>
            <w:tcW w:w="8275" w:type="dxa"/>
            <w:shd w:val="clear" w:color="auto" w:fill="DEEAF6" w:themeFill="accent1" w:themeFillTint="33"/>
          </w:tcPr>
          <w:p w14:paraId="7377539F" w14:textId="77777777" w:rsidR="00853C2A" w:rsidRPr="00F110C9" w:rsidRDefault="00853C2A" w:rsidP="00853C2A">
            <w:pPr>
              <w:pStyle w:val="Subtitle"/>
            </w:pPr>
            <w:r w:rsidRPr="00F110C9">
              <w:t>Suggested Readings (in addition to Learner’s Guide Modules)</w:t>
            </w:r>
          </w:p>
        </w:tc>
      </w:tr>
      <w:tr w:rsidR="00853C2A" w14:paraId="079F2C0B" w14:textId="77777777" w:rsidTr="00DF71DB">
        <w:tc>
          <w:tcPr>
            <w:tcW w:w="1525" w:type="dxa"/>
          </w:tcPr>
          <w:p w14:paraId="1A4C44F7" w14:textId="77777777" w:rsidR="00853C2A" w:rsidRDefault="00853C2A" w:rsidP="00853C2A">
            <w:pPr>
              <w:pStyle w:val="ListNumber"/>
              <w:spacing w:after="0" w:line="240" w:lineRule="auto"/>
              <w:ind w:left="-25"/>
              <w:rPr>
                <w:b/>
              </w:rPr>
            </w:pPr>
            <w:r w:rsidRPr="00E41671">
              <w:rPr>
                <w:b/>
              </w:rPr>
              <w:t xml:space="preserve">Module </w:t>
            </w:r>
            <w:r w:rsidR="00397FE4" w:rsidRPr="00E41671">
              <w:rPr>
                <w:b/>
              </w:rPr>
              <w:t>1</w:t>
            </w:r>
            <w:r w:rsidR="006F0D46" w:rsidRPr="00E41671">
              <w:rPr>
                <w:b/>
              </w:rPr>
              <w:t>:</w:t>
            </w:r>
          </w:p>
          <w:p w14:paraId="7AFE849B" w14:textId="77777777" w:rsidR="00500D69" w:rsidRPr="00E41671" w:rsidRDefault="00500D69" w:rsidP="00853C2A">
            <w:pPr>
              <w:pStyle w:val="ListNumber"/>
              <w:spacing w:after="0" w:line="240" w:lineRule="auto"/>
              <w:ind w:left="-25"/>
              <w:rPr>
                <w:b/>
              </w:rPr>
            </w:pPr>
          </w:p>
          <w:p w14:paraId="11321616" w14:textId="77777777" w:rsidR="00853C2A" w:rsidRPr="006F0D46" w:rsidRDefault="00853C2A" w:rsidP="00853C2A">
            <w:pPr>
              <w:pStyle w:val="ListNumber"/>
              <w:spacing w:after="0" w:line="240" w:lineRule="auto"/>
              <w:ind w:left="-25"/>
            </w:pPr>
            <w:r w:rsidRPr="006F0D46">
              <w:t xml:space="preserve">What is SBIRT </w:t>
            </w:r>
            <w:r w:rsidR="006F0D46" w:rsidRPr="006F0D46">
              <w:t xml:space="preserve">for Youth </w:t>
            </w:r>
            <w:r w:rsidRPr="006F0D46">
              <w:t>and Why Use it?</w:t>
            </w:r>
          </w:p>
        </w:tc>
        <w:tc>
          <w:tcPr>
            <w:tcW w:w="4590" w:type="dxa"/>
          </w:tcPr>
          <w:p w14:paraId="55E3BC50" w14:textId="77777777" w:rsidR="00495B95" w:rsidRDefault="00495B95" w:rsidP="00495B95">
            <w:pPr>
              <w:pStyle w:val="ListNumber"/>
              <w:numPr>
                <w:ilvl w:val="0"/>
                <w:numId w:val="27"/>
              </w:numPr>
              <w:tabs>
                <w:tab w:val="left" w:pos="1530"/>
              </w:tabs>
              <w:spacing w:before="120" w:line="240" w:lineRule="auto"/>
              <w:rPr>
                <w:rFonts w:ascii="Arial" w:hAnsi="Arial"/>
                <w:b/>
                <w:bCs/>
                <w:color w:val="FFFFFF" w:themeColor="background1"/>
                <w:kern w:val="32"/>
              </w:rPr>
            </w:pPr>
            <w:r>
              <w:t>Learn what SBIRT stands for and what each component means.</w:t>
            </w:r>
          </w:p>
          <w:p w14:paraId="1CBC2FDE" w14:textId="77777777" w:rsidR="00495B95" w:rsidRDefault="00495B95" w:rsidP="00495B95">
            <w:pPr>
              <w:pStyle w:val="ListNumber"/>
              <w:numPr>
                <w:ilvl w:val="0"/>
                <w:numId w:val="27"/>
              </w:numPr>
              <w:tabs>
                <w:tab w:val="left" w:pos="1530"/>
              </w:tabs>
              <w:spacing w:before="120" w:line="240" w:lineRule="auto"/>
              <w:rPr>
                <w:rFonts w:ascii="Arial" w:hAnsi="Arial"/>
                <w:b/>
                <w:bCs/>
                <w:color w:val="FFFFFF" w:themeColor="background1"/>
                <w:kern w:val="32"/>
              </w:rPr>
            </w:pPr>
            <w:r>
              <w:t xml:space="preserve">Understand why SBIRT is relevant and important for use with </w:t>
            </w:r>
            <w:bookmarkStart w:id="3" w:name="OLE_LINK3"/>
            <w:r>
              <w:t>adolescents and young adults</w:t>
            </w:r>
            <w:bookmarkEnd w:id="3"/>
            <w:r>
              <w:t>.</w:t>
            </w:r>
          </w:p>
          <w:p w14:paraId="6574850C" w14:textId="3CDC4E34" w:rsidR="0041298E" w:rsidRPr="0041298E" w:rsidRDefault="0041298E" w:rsidP="00495B95">
            <w:pPr>
              <w:pStyle w:val="ListNumber"/>
              <w:numPr>
                <w:ilvl w:val="0"/>
                <w:numId w:val="27"/>
              </w:numPr>
              <w:tabs>
                <w:tab w:val="left" w:pos="1530"/>
              </w:tabs>
              <w:spacing w:before="120" w:line="240" w:lineRule="auto"/>
              <w:rPr>
                <w:rFonts w:ascii="Arial" w:hAnsi="Arial"/>
                <w:b/>
                <w:bCs/>
                <w:color w:val="FFFFFF" w:themeColor="background1"/>
                <w:kern w:val="32"/>
              </w:rPr>
            </w:pPr>
            <w:r>
              <w:t>Recognize the prevalence of substance use among adolescents and young adults.</w:t>
            </w:r>
          </w:p>
          <w:p w14:paraId="7A851337" w14:textId="045893E7" w:rsidR="00495B95" w:rsidRDefault="00495B95" w:rsidP="00495B95">
            <w:pPr>
              <w:pStyle w:val="ListNumber"/>
              <w:numPr>
                <w:ilvl w:val="0"/>
                <w:numId w:val="27"/>
              </w:numPr>
              <w:tabs>
                <w:tab w:val="left" w:pos="1530"/>
              </w:tabs>
              <w:spacing w:before="120" w:line="240" w:lineRule="auto"/>
              <w:rPr>
                <w:rFonts w:ascii="Arial" w:hAnsi="Arial"/>
                <w:b/>
                <w:bCs/>
                <w:color w:val="FFFFFF" w:themeColor="background1"/>
                <w:kern w:val="32"/>
              </w:rPr>
            </w:pPr>
            <w:r>
              <w:t xml:space="preserve">Understand the impact of </w:t>
            </w:r>
            <w:r w:rsidR="0041298E">
              <w:t xml:space="preserve">substance </w:t>
            </w:r>
            <w:r>
              <w:t xml:space="preserve">use in the lives of </w:t>
            </w:r>
            <w:r w:rsidR="0041298E">
              <w:t>adolescents and young adults</w:t>
            </w:r>
            <w:r>
              <w:t>.</w:t>
            </w:r>
          </w:p>
          <w:p w14:paraId="576ADC26" w14:textId="5E325376" w:rsidR="00853C2A" w:rsidRPr="006F0D46" w:rsidRDefault="00853C2A" w:rsidP="0041298E">
            <w:pPr>
              <w:pStyle w:val="ListParagraph"/>
              <w:spacing w:after="240"/>
              <w:ind w:left="360"/>
            </w:pPr>
          </w:p>
        </w:tc>
        <w:tc>
          <w:tcPr>
            <w:tcW w:w="8275" w:type="dxa"/>
          </w:tcPr>
          <w:p w14:paraId="547B3FBA" w14:textId="77777777" w:rsidR="0041298E" w:rsidRPr="0041298E" w:rsidRDefault="0041298E" w:rsidP="006A0614">
            <w:pPr>
              <w:pStyle w:val="ListBullet"/>
              <w:spacing w:before="120" w:after="120" w:line="240" w:lineRule="auto"/>
            </w:pPr>
            <w:r w:rsidRPr="0041298E">
              <w:t xml:space="preserve">Hassan, A., Harris, S. K., &amp; Knight, J. R. (2020). Primary care and pediatric settings: Screening, brief intervention, and referral to treatment (SBIRT). In Y. Kaminer &amp; K. C. Winters (Eds.), </w:t>
            </w:r>
            <w:r w:rsidRPr="0041298E">
              <w:rPr>
                <w:i/>
                <w:iCs/>
              </w:rPr>
              <w:t>Clinical manual of youth addictive disorders,</w:t>
            </w:r>
            <w:r w:rsidRPr="0041298E">
              <w:t xml:space="preserve"> (2nd ed., pp. 75-96). American Psychiatric Association Publishing. </w:t>
            </w:r>
          </w:p>
          <w:p w14:paraId="1748ABFF" w14:textId="77777777" w:rsidR="0041298E" w:rsidRPr="0041298E" w:rsidRDefault="0041298E" w:rsidP="006A0614">
            <w:pPr>
              <w:pStyle w:val="ListBullet"/>
              <w:spacing w:before="120" w:after="120" w:line="240" w:lineRule="auto"/>
            </w:pPr>
            <w:r w:rsidRPr="0041298E">
              <w:t xml:space="preserve">DiClemente, C. C. (2020). Screening, brief intervention, and referral to treatment: An efficacious public health approach to substance use prevention and treatment. In M. D. Cimini &amp; J. L. Martin (Eds.), </w:t>
            </w:r>
            <w:r w:rsidRPr="0041298E">
              <w:rPr>
                <w:i/>
                <w:iCs/>
              </w:rPr>
              <w:t>Screening, brief intervention, and referral to treatment for substance use: A practitioner’s guide</w:t>
            </w:r>
            <w:r w:rsidRPr="0041298E">
              <w:t xml:space="preserve">. American Psychological Association. </w:t>
            </w:r>
          </w:p>
          <w:p w14:paraId="59FB1EEA" w14:textId="77777777" w:rsidR="0041298E" w:rsidRPr="0041298E" w:rsidRDefault="0041298E" w:rsidP="006A0614">
            <w:pPr>
              <w:pStyle w:val="ListBullet"/>
              <w:spacing w:before="120" w:after="120" w:line="240" w:lineRule="auto"/>
            </w:pPr>
            <w:r w:rsidRPr="0041298E">
              <w:t xml:space="preserve">Babor, T. F., McRee, B. G., Kassebaum, P. A., Grimaldi, P. L., Ahmed, K., &amp; Bray, J. (2007). Screening, brief intervention, and referral to treatment (SBIRT): Toward a public health approach to the management of substance abuse. </w:t>
            </w:r>
            <w:r w:rsidRPr="0041298E">
              <w:rPr>
                <w:i/>
                <w:iCs/>
              </w:rPr>
              <w:t>Substance abuse</w:t>
            </w:r>
            <w:r w:rsidRPr="0041298E">
              <w:t xml:space="preserve">, 28(3), 7-30. </w:t>
            </w:r>
          </w:p>
          <w:p w14:paraId="11DDE994" w14:textId="77777777" w:rsidR="0041298E" w:rsidRPr="0041298E" w:rsidRDefault="0041298E" w:rsidP="006A0614">
            <w:pPr>
              <w:pStyle w:val="ListBullet"/>
              <w:spacing w:before="120" w:after="120" w:line="240" w:lineRule="auto"/>
            </w:pPr>
            <w:r w:rsidRPr="0041298E">
              <w:t xml:space="preserve">Babor, T. F., Del Boca, F., &amp; Bray, J. W. (2017). Screening, brief intervention and referral to treatment: Implications of SAMHSA's SBIRT initiative for substance abuse policy and practice. </w:t>
            </w:r>
            <w:r w:rsidRPr="0041298E">
              <w:rPr>
                <w:i/>
                <w:iCs/>
              </w:rPr>
              <w:t>Addiction</w:t>
            </w:r>
            <w:r w:rsidRPr="0041298E">
              <w:t xml:space="preserve">, 112 Suppl 2, 110-117. </w:t>
            </w:r>
          </w:p>
          <w:p w14:paraId="787784E4" w14:textId="77777777" w:rsidR="0041298E" w:rsidRPr="0041298E" w:rsidRDefault="0041298E" w:rsidP="006A0614">
            <w:pPr>
              <w:pStyle w:val="ListBullet"/>
              <w:spacing w:before="120" w:after="120" w:line="240" w:lineRule="auto"/>
            </w:pPr>
            <w:r w:rsidRPr="0041298E">
              <w:t xml:space="preserve">Bray, J. W., Del Boca, F. K., McRee, B. G., Hayashi, S. W., &amp; Babor, T. F. (2017). Screening, brief intervention and referral to treatment (SBIRT): Rationale, program overview and cross‐site evaluation. </w:t>
            </w:r>
            <w:r w:rsidRPr="0041298E">
              <w:rPr>
                <w:i/>
                <w:iCs/>
              </w:rPr>
              <w:t>Addiction (Abingdon, England), 112 Suppl 2,</w:t>
            </w:r>
            <w:r w:rsidRPr="0041298E">
              <w:t xml:space="preserve"> 3-11. </w:t>
            </w:r>
          </w:p>
          <w:p w14:paraId="1C320E40" w14:textId="77777777" w:rsidR="0041298E" w:rsidRPr="0041298E" w:rsidRDefault="0041298E" w:rsidP="006A0614">
            <w:pPr>
              <w:pStyle w:val="ListBullet"/>
              <w:spacing w:before="120" w:after="120" w:line="240" w:lineRule="auto"/>
            </w:pPr>
            <w:r w:rsidRPr="0041298E">
              <w:t xml:space="preserve">U.S. Preventive Services Task Force. (2018). </w:t>
            </w:r>
            <w:r w:rsidRPr="0041298E">
              <w:rPr>
                <w:i/>
                <w:iCs/>
              </w:rPr>
              <w:t>Unhealthy alcohol use in adolescents and adults: Screening and behavioral counseling interventions</w:t>
            </w:r>
            <w:r w:rsidRPr="0041298E">
              <w:t xml:space="preserve">. </w:t>
            </w:r>
          </w:p>
          <w:p w14:paraId="4759649F" w14:textId="77777777" w:rsidR="0041298E" w:rsidRPr="0041298E" w:rsidRDefault="0041298E" w:rsidP="006A0614">
            <w:pPr>
              <w:pStyle w:val="ListBullet"/>
              <w:spacing w:before="120" w:after="120" w:line="240" w:lineRule="auto"/>
            </w:pPr>
            <w:r w:rsidRPr="0041298E">
              <w:t xml:space="preserve">Committee on Substance Abuse, Levy, S. J., &amp; Kokotailo, P. K. (2011). Substance use screening, brief intervention, and referral to treatment for pediatricians. </w:t>
            </w:r>
            <w:r w:rsidRPr="0041298E">
              <w:rPr>
                <w:i/>
                <w:iCs/>
              </w:rPr>
              <w:t>Pediatrics,128</w:t>
            </w:r>
            <w:r w:rsidRPr="0041298E">
              <w:t xml:space="preserve">(5), e1330-e1340. </w:t>
            </w:r>
          </w:p>
          <w:p w14:paraId="5A945574" w14:textId="66992F23" w:rsidR="00853C2A" w:rsidRPr="006F0D46" w:rsidRDefault="0041298E" w:rsidP="006A0614">
            <w:pPr>
              <w:pStyle w:val="ListBullet"/>
              <w:spacing w:before="120" w:after="120" w:line="240" w:lineRule="auto"/>
            </w:pPr>
            <w:r w:rsidRPr="0041298E">
              <w:t xml:space="preserve">Substance Abuse and Mental Health Services Administration. (2011). </w:t>
            </w:r>
            <w:r w:rsidRPr="0041298E">
              <w:rPr>
                <w:i/>
                <w:iCs/>
              </w:rPr>
              <w:t>Screening, brief intervention, and referral to treatment (SBIRT) in behavioral healthcare.</w:t>
            </w:r>
          </w:p>
        </w:tc>
      </w:tr>
      <w:tr w:rsidR="00853C2A" w14:paraId="58113A3F" w14:textId="77777777" w:rsidTr="00DF71DB">
        <w:tc>
          <w:tcPr>
            <w:tcW w:w="1525" w:type="dxa"/>
          </w:tcPr>
          <w:p w14:paraId="006960DD" w14:textId="77777777" w:rsidR="00853C2A" w:rsidRDefault="00853C2A" w:rsidP="00853C2A">
            <w:pPr>
              <w:pStyle w:val="ListNumber"/>
              <w:spacing w:after="0" w:line="240" w:lineRule="auto"/>
              <w:ind w:left="-25"/>
              <w:rPr>
                <w:b/>
              </w:rPr>
            </w:pPr>
            <w:r w:rsidRPr="00E41671">
              <w:rPr>
                <w:b/>
              </w:rPr>
              <w:t xml:space="preserve">Module </w:t>
            </w:r>
            <w:r w:rsidR="003F749E" w:rsidRPr="00E41671">
              <w:rPr>
                <w:b/>
              </w:rPr>
              <w:t>2</w:t>
            </w:r>
            <w:r w:rsidR="006F0D46" w:rsidRPr="00E41671">
              <w:rPr>
                <w:b/>
              </w:rPr>
              <w:t>:</w:t>
            </w:r>
          </w:p>
          <w:p w14:paraId="65B5C0F8" w14:textId="77777777" w:rsidR="00500D69" w:rsidRPr="00E41671" w:rsidRDefault="00500D69" w:rsidP="00853C2A">
            <w:pPr>
              <w:pStyle w:val="ListNumber"/>
              <w:spacing w:after="0" w:line="240" w:lineRule="auto"/>
              <w:ind w:left="-25"/>
              <w:rPr>
                <w:b/>
              </w:rPr>
            </w:pPr>
          </w:p>
          <w:p w14:paraId="08B8DD44" w14:textId="77777777" w:rsidR="00853C2A" w:rsidRPr="006F0D46" w:rsidRDefault="00853C2A" w:rsidP="00853C2A">
            <w:pPr>
              <w:pStyle w:val="ListNumber"/>
              <w:spacing w:after="0" w:line="240" w:lineRule="auto"/>
              <w:ind w:left="-25"/>
            </w:pPr>
            <w:r w:rsidRPr="006F0D46">
              <w:t>Screening</w:t>
            </w:r>
          </w:p>
        </w:tc>
        <w:tc>
          <w:tcPr>
            <w:tcW w:w="4590" w:type="dxa"/>
          </w:tcPr>
          <w:p w14:paraId="44BE9722" w14:textId="77777777" w:rsidR="002E0A70" w:rsidRPr="002E0A70" w:rsidRDefault="002E0A70" w:rsidP="006A0614">
            <w:pPr>
              <w:pStyle w:val="ListNumber"/>
              <w:numPr>
                <w:ilvl w:val="0"/>
                <w:numId w:val="23"/>
              </w:numPr>
              <w:tabs>
                <w:tab w:val="left" w:pos="1530"/>
              </w:tabs>
              <w:spacing w:before="120" w:line="240" w:lineRule="auto"/>
            </w:pPr>
            <w:r w:rsidRPr="002E0A70">
              <w:t>Learn how to administer and score validated substance use and mental health screening tools with adolescents and young adults.</w:t>
            </w:r>
          </w:p>
          <w:p w14:paraId="25C3EB8D" w14:textId="77777777" w:rsidR="002E0A70" w:rsidRPr="002E0A70" w:rsidRDefault="002E0A70" w:rsidP="006A0614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2E0A70">
              <w:rPr>
                <w:rFonts w:ascii="Times New Roman" w:hAnsi="Times New Roman" w:cs="Times New Roman"/>
              </w:rPr>
              <w:t>Learn how to interpret the screening score to determine the level of risk.</w:t>
            </w:r>
          </w:p>
          <w:p w14:paraId="1C6A16D0" w14:textId="008913A9" w:rsidR="00853C2A" w:rsidRPr="006F0D46" w:rsidRDefault="00853C2A" w:rsidP="002E0A70">
            <w:pPr>
              <w:pStyle w:val="ListParagraph"/>
              <w:spacing w:after="240"/>
              <w:ind w:left="360"/>
            </w:pPr>
          </w:p>
        </w:tc>
        <w:tc>
          <w:tcPr>
            <w:tcW w:w="8275" w:type="dxa"/>
          </w:tcPr>
          <w:p w14:paraId="2BC87427" w14:textId="77777777" w:rsidR="006F002E" w:rsidRPr="006F002E" w:rsidRDefault="006F002E" w:rsidP="006A0614">
            <w:pPr>
              <w:pStyle w:val="ListBullet"/>
              <w:spacing w:before="120" w:after="120" w:line="240" w:lineRule="auto"/>
            </w:pPr>
            <w:r w:rsidRPr="006F002E">
              <w:t xml:space="preserve">Winters, K.C., Stinchfield, R., &amp; Botzet, A. M. (2020). Screening and assessing youth for substance use disorder. In Y. Kaminer &amp; K. C. Winters (Eds.), </w:t>
            </w:r>
            <w:r w:rsidRPr="006F002E">
              <w:rPr>
                <w:i/>
                <w:iCs/>
              </w:rPr>
              <w:t>Clinical manual of youth addictive disorders</w:t>
            </w:r>
            <w:r w:rsidRPr="006F002E">
              <w:t>, (2nd ed., pp. 51-74). American Psychiatric Association Publishing.</w:t>
            </w:r>
          </w:p>
          <w:p w14:paraId="441CBFC1" w14:textId="77777777" w:rsidR="006F002E" w:rsidRPr="006F002E" w:rsidRDefault="006F002E" w:rsidP="006A0614">
            <w:pPr>
              <w:pStyle w:val="ListBullet"/>
              <w:spacing w:before="120" w:after="120" w:line="240" w:lineRule="auto"/>
            </w:pPr>
            <w:r w:rsidRPr="006F002E">
              <w:t xml:space="preserve">Kaminer, Y. &amp; Winters, K. C. (Eds.) (2020). Appendix A: Resource materials on screening and assessment instruments. </w:t>
            </w:r>
            <w:r w:rsidRPr="006F002E">
              <w:rPr>
                <w:i/>
                <w:iCs/>
              </w:rPr>
              <w:t>Clinical manual of youth addictive disorders</w:t>
            </w:r>
            <w:r w:rsidRPr="006F002E">
              <w:t>, (2nd ed., pp. 567-568). American Psychiatric Association Publishing.</w:t>
            </w:r>
          </w:p>
          <w:p w14:paraId="1DF522D0" w14:textId="77777777" w:rsidR="006F002E" w:rsidRPr="006F002E" w:rsidRDefault="006F002E" w:rsidP="006A0614">
            <w:pPr>
              <w:pStyle w:val="ListBullet"/>
              <w:spacing w:before="120" w:after="120" w:line="240" w:lineRule="auto"/>
            </w:pPr>
            <w:r w:rsidRPr="006F002E">
              <w:t xml:space="preserve">Schaus, J. F. (2020). Approaches for screening for alcohol misuse in primary care. In M. D. Cimini &amp; J. L. Martin (Eds.), </w:t>
            </w:r>
            <w:r w:rsidRPr="006F002E">
              <w:rPr>
                <w:i/>
                <w:iCs/>
              </w:rPr>
              <w:t xml:space="preserve">Screening, brief intervention, and referral to </w:t>
            </w:r>
            <w:r w:rsidRPr="006F002E">
              <w:rPr>
                <w:i/>
                <w:iCs/>
              </w:rPr>
              <w:lastRenderedPageBreak/>
              <w:t>treatment for substance use: A practitioner’s guide.</w:t>
            </w:r>
            <w:r w:rsidRPr="006F002E">
              <w:t xml:space="preserve"> American Psychological Association.</w:t>
            </w:r>
          </w:p>
          <w:p w14:paraId="550FBEA2" w14:textId="36214E64" w:rsidR="006F002E" w:rsidRPr="006F0D46" w:rsidRDefault="006F002E" w:rsidP="006A0614">
            <w:pPr>
              <w:pStyle w:val="ListBullet"/>
              <w:spacing w:before="120" w:after="120" w:line="240" w:lineRule="auto"/>
            </w:pPr>
            <w:r w:rsidRPr="006F002E">
              <w:t xml:space="preserve">Schmidt-Owens, M. (2020). Screening and intervention for tobacco use. In M. D. Cimini &amp; J. L. Martin (Eds.), </w:t>
            </w:r>
            <w:r w:rsidRPr="006F002E">
              <w:rPr>
                <w:i/>
                <w:iCs/>
              </w:rPr>
              <w:t>Screening, brief intervention, and referral to treatment for substance use: A practitioner’s guide</w:t>
            </w:r>
            <w:r w:rsidRPr="006F002E">
              <w:t>. American Psychological Association.</w:t>
            </w:r>
          </w:p>
        </w:tc>
      </w:tr>
      <w:tr w:rsidR="00853C2A" w14:paraId="5E4B283D" w14:textId="77777777" w:rsidTr="00DF71DB">
        <w:tc>
          <w:tcPr>
            <w:tcW w:w="1525" w:type="dxa"/>
          </w:tcPr>
          <w:p w14:paraId="27F46438" w14:textId="77777777" w:rsidR="00853C2A" w:rsidRDefault="00853C2A" w:rsidP="00853C2A">
            <w:pPr>
              <w:pStyle w:val="ListNumber"/>
              <w:spacing w:after="0" w:line="240" w:lineRule="auto"/>
              <w:ind w:left="-25"/>
              <w:rPr>
                <w:b/>
              </w:rPr>
            </w:pPr>
            <w:r w:rsidRPr="00E41671">
              <w:rPr>
                <w:b/>
              </w:rPr>
              <w:lastRenderedPageBreak/>
              <w:t xml:space="preserve">Module </w:t>
            </w:r>
            <w:r w:rsidR="003F749E" w:rsidRPr="00E41671">
              <w:rPr>
                <w:b/>
              </w:rPr>
              <w:t>3</w:t>
            </w:r>
            <w:r w:rsidR="006F0D46" w:rsidRPr="00E41671">
              <w:rPr>
                <w:b/>
              </w:rPr>
              <w:t>:</w:t>
            </w:r>
          </w:p>
          <w:p w14:paraId="65B5904F" w14:textId="77777777" w:rsidR="00500D69" w:rsidRPr="00E41671" w:rsidRDefault="00500D69" w:rsidP="00853C2A">
            <w:pPr>
              <w:pStyle w:val="ListNumber"/>
              <w:spacing w:after="0" w:line="240" w:lineRule="auto"/>
              <w:ind w:left="-25"/>
              <w:rPr>
                <w:b/>
              </w:rPr>
            </w:pPr>
          </w:p>
          <w:p w14:paraId="016E09FC" w14:textId="77777777" w:rsidR="00853C2A" w:rsidRPr="006F0D46" w:rsidRDefault="00853C2A" w:rsidP="00493206">
            <w:pPr>
              <w:pStyle w:val="ListNumber"/>
              <w:spacing w:after="0" w:line="240" w:lineRule="auto"/>
              <w:ind w:left="-25"/>
            </w:pPr>
            <w:r w:rsidRPr="006F0D46">
              <w:t>Brief Intervention</w:t>
            </w:r>
          </w:p>
        </w:tc>
        <w:tc>
          <w:tcPr>
            <w:tcW w:w="4590" w:type="dxa"/>
          </w:tcPr>
          <w:p w14:paraId="402875F2" w14:textId="77777777" w:rsidR="00853C2A" w:rsidRDefault="00EA3B78" w:rsidP="006A0614">
            <w:pPr>
              <w:pStyle w:val="ListNumber"/>
              <w:numPr>
                <w:ilvl w:val="0"/>
                <w:numId w:val="22"/>
              </w:numPr>
              <w:tabs>
                <w:tab w:val="left" w:pos="1530"/>
              </w:tabs>
              <w:spacing w:before="120" w:line="240" w:lineRule="auto"/>
            </w:pPr>
            <w:r>
              <w:t>Learn the steps of brief intervention based on the Brief Negotiated Interview Model.</w:t>
            </w:r>
          </w:p>
          <w:p w14:paraId="63AC99F3" w14:textId="77777777" w:rsidR="005A7B74" w:rsidRPr="005A7B74" w:rsidRDefault="005A7B74" w:rsidP="006A0614">
            <w:pPr>
              <w:pStyle w:val="ListNumber"/>
              <w:numPr>
                <w:ilvl w:val="0"/>
                <w:numId w:val="35"/>
              </w:numPr>
              <w:tabs>
                <w:tab w:val="left" w:pos="1530"/>
              </w:tabs>
              <w:spacing w:before="120" w:line="240" w:lineRule="auto"/>
            </w:pPr>
            <w:r w:rsidRPr="005A7B74">
              <w:t>Engagement</w:t>
            </w:r>
          </w:p>
          <w:p w14:paraId="6F9AF151" w14:textId="77777777" w:rsidR="005A7B74" w:rsidRPr="005A7B74" w:rsidRDefault="005A7B74" w:rsidP="006A0614">
            <w:pPr>
              <w:pStyle w:val="ListNumber"/>
              <w:numPr>
                <w:ilvl w:val="0"/>
                <w:numId w:val="35"/>
              </w:numPr>
              <w:tabs>
                <w:tab w:val="left" w:pos="1530"/>
              </w:tabs>
              <w:spacing w:before="120" w:line="240" w:lineRule="auto"/>
            </w:pPr>
            <w:r w:rsidRPr="005A7B74">
              <w:t xml:space="preserve">Pros and Cons </w:t>
            </w:r>
          </w:p>
          <w:p w14:paraId="26289BCD" w14:textId="77777777" w:rsidR="005A7B74" w:rsidRPr="005A7B74" w:rsidRDefault="005A7B74" w:rsidP="006A0614">
            <w:pPr>
              <w:pStyle w:val="ListNumber"/>
              <w:numPr>
                <w:ilvl w:val="0"/>
                <w:numId w:val="35"/>
              </w:numPr>
              <w:tabs>
                <w:tab w:val="left" w:pos="1530"/>
              </w:tabs>
              <w:spacing w:before="120" w:line="240" w:lineRule="auto"/>
            </w:pPr>
            <w:r w:rsidRPr="005A7B74">
              <w:t>Feedback</w:t>
            </w:r>
          </w:p>
          <w:p w14:paraId="7EEDC62F" w14:textId="77777777" w:rsidR="005A7B74" w:rsidRPr="005A7B74" w:rsidRDefault="005A7B74" w:rsidP="006A0614">
            <w:pPr>
              <w:pStyle w:val="ListNumber"/>
              <w:numPr>
                <w:ilvl w:val="0"/>
                <w:numId w:val="35"/>
              </w:numPr>
              <w:tabs>
                <w:tab w:val="left" w:pos="1530"/>
              </w:tabs>
              <w:spacing w:before="120" w:line="240" w:lineRule="auto"/>
            </w:pPr>
            <w:r w:rsidRPr="005A7B74">
              <w:t>Readiness Ruler</w:t>
            </w:r>
          </w:p>
          <w:p w14:paraId="02D8FA8E" w14:textId="77777777" w:rsidR="005A7B74" w:rsidRPr="005A7B74" w:rsidRDefault="005A7B74" w:rsidP="006A0614">
            <w:pPr>
              <w:pStyle w:val="ListNumber"/>
              <w:numPr>
                <w:ilvl w:val="0"/>
                <w:numId w:val="35"/>
              </w:numPr>
              <w:tabs>
                <w:tab w:val="left" w:pos="1530"/>
              </w:tabs>
              <w:spacing w:before="120" w:line="240" w:lineRule="auto"/>
            </w:pPr>
            <w:r w:rsidRPr="005A7B74">
              <w:t>Negotiate Action Plan</w:t>
            </w:r>
          </w:p>
          <w:p w14:paraId="5910C844" w14:textId="77777777" w:rsidR="005A7B74" w:rsidRPr="005A7B74" w:rsidRDefault="005A7B74" w:rsidP="006A0614">
            <w:pPr>
              <w:pStyle w:val="ListNumber"/>
              <w:numPr>
                <w:ilvl w:val="0"/>
                <w:numId w:val="35"/>
              </w:numPr>
              <w:tabs>
                <w:tab w:val="left" w:pos="1530"/>
              </w:tabs>
              <w:spacing w:before="120" w:line="240" w:lineRule="auto"/>
            </w:pPr>
            <w:r w:rsidRPr="005A7B74">
              <w:t xml:space="preserve">Summarize and Thank </w:t>
            </w:r>
          </w:p>
          <w:p w14:paraId="0B36F974" w14:textId="726FA561" w:rsidR="005A7B74" w:rsidRPr="006F0D46" w:rsidRDefault="005A7B74" w:rsidP="005A7B74">
            <w:pPr>
              <w:pStyle w:val="ListNumber"/>
              <w:tabs>
                <w:tab w:val="left" w:pos="1530"/>
              </w:tabs>
              <w:spacing w:before="120" w:line="240" w:lineRule="auto"/>
              <w:ind w:left="360"/>
            </w:pPr>
          </w:p>
        </w:tc>
        <w:tc>
          <w:tcPr>
            <w:tcW w:w="8275" w:type="dxa"/>
          </w:tcPr>
          <w:p w14:paraId="7EA20DC1" w14:textId="77777777" w:rsidR="005A7B74" w:rsidRPr="005A7B74" w:rsidRDefault="005A7B74" w:rsidP="006A0614">
            <w:pPr>
              <w:pStyle w:val="ListBullet"/>
              <w:spacing w:before="120" w:after="120" w:line="240" w:lineRule="auto"/>
              <w:rPr>
                <w:noProof/>
              </w:rPr>
            </w:pPr>
            <w:r w:rsidRPr="005A7B74">
              <w:rPr>
                <w:noProof/>
              </w:rPr>
              <w:t xml:space="preserve">Hassan, A., Harris, S. K., &amp; Knight, J. R. (2020). Primary care and pediatric settings: Screening, brief intervention, and referral to treatment (SBIRT). In Y. Kaminer &amp; K. C. Winters (Eds.), </w:t>
            </w:r>
            <w:r w:rsidRPr="005A7B74">
              <w:rPr>
                <w:i/>
                <w:iCs/>
                <w:noProof/>
              </w:rPr>
              <w:t>Clinical manual of youth addictive disorders</w:t>
            </w:r>
            <w:r w:rsidRPr="005A7B74">
              <w:rPr>
                <w:noProof/>
              </w:rPr>
              <w:t xml:space="preserve">, (2nd ed., pp. 75-96). American Psychiatric Association Publishing. </w:t>
            </w:r>
          </w:p>
          <w:p w14:paraId="29F6A983" w14:textId="77777777" w:rsidR="005A7B74" w:rsidRPr="005A7B74" w:rsidRDefault="005A7B74" w:rsidP="006A0614">
            <w:pPr>
              <w:pStyle w:val="ListBullet"/>
              <w:spacing w:before="120" w:after="120" w:line="240" w:lineRule="auto"/>
              <w:rPr>
                <w:noProof/>
              </w:rPr>
            </w:pPr>
            <w:r w:rsidRPr="005A7B74">
              <w:rPr>
                <w:noProof/>
              </w:rPr>
              <w:t xml:space="preserve">Monti, P. M., Colby, S. M., &amp; O'Leary, T. A. (Eds.). (2012). </w:t>
            </w:r>
            <w:r w:rsidRPr="005A7B74">
              <w:rPr>
                <w:i/>
                <w:iCs/>
                <w:noProof/>
              </w:rPr>
              <w:t>Adolescents, alcohol, and substance abuse: Reaching teens through brief interventions.</w:t>
            </w:r>
            <w:r w:rsidRPr="005A7B74">
              <w:rPr>
                <w:noProof/>
              </w:rPr>
              <w:t xml:space="preserve"> Guilford Press.</w:t>
            </w:r>
          </w:p>
          <w:p w14:paraId="76D1DEED" w14:textId="77777777" w:rsidR="005A7B74" w:rsidRPr="005A7B74" w:rsidRDefault="005A7B74" w:rsidP="006A0614">
            <w:pPr>
              <w:pStyle w:val="ListBullet"/>
              <w:spacing w:before="120" w:after="120" w:line="240" w:lineRule="auto"/>
              <w:rPr>
                <w:noProof/>
              </w:rPr>
            </w:pPr>
            <w:r w:rsidRPr="005A7B74">
              <w:rPr>
                <w:noProof/>
              </w:rPr>
              <w:t xml:space="preserve">Myers, M. G., Brown, S. A., Tate, S., Abrantes, A., &amp; Tomlinson, K. (2001). Toward brief interventions for adolescents with substance abuse prevention and comorbid psychiatric problems. In P. M. Monti, S. M. Colby, &amp; T. A. O’Leary (Eds.), </w:t>
            </w:r>
            <w:r w:rsidRPr="005A7B74">
              <w:rPr>
                <w:i/>
                <w:iCs/>
                <w:noProof/>
              </w:rPr>
              <w:t xml:space="preserve">Adolescents, alcohol, and substance abuse: Reaching teens through brief interventions </w:t>
            </w:r>
            <w:r w:rsidRPr="005A7B74">
              <w:rPr>
                <w:noProof/>
              </w:rPr>
              <w:t>(pp. 144-163). Guilford Press.</w:t>
            </w:r>
          </w:p>
          <w:p w14:paraId="3E3A513B" w14:textId="4323382C" w:rsidR="00853C2A" w:rsidRPr="005C4FAC" w:rsidRDefault="005A7B74" w:rsidP="006A0614">
            <w:pPr>
              <w:pStyle w:val="ListBullet"/>
              <w:spacing w:before="120" w:after="120" w:line="240" w:lineRule="auto"/>
              <w:rPr>
                <w:noProof/>
              </w:rPr>
            </w:pPr>
            <w:r w:rsidRPr="005A7B74">
              <w:rPr>
                <w:noProof/>
              </w:rPr>
              <w:t xml:space="preserve">Tanner-Smith, E. E., &amp; Lipsey, M. W. (2015) Brief alcohol interventions for adolescents and young adults: A systematic review and meta-analysis. </w:t>
            </w:r>
            <w:r w:rsidRPr="005A7B74">
              <w:rPr>
                <w:i/>
                <w:iCs/>
                <w:noProof/>
              </w:rPr>
              <w:t>Journal of Substance Abuse Treatment</w:t>
            </w:r>
            <w:r w:rsidRPr="005A7B74">
              <w:rPr>
                <w:noProof/>
              </w:rPr>
              <w:t xml:space="preserve">, </w:t>
            </w:r>
            <w:r w:rsidRPr="005A7B74">
              <w:rPr>
                <w:i/>
                <w:iCs/>
                <w:noProof/>
              </w:rPr>
              <w:t>51</w:t>
            </w:r>
            <w:r w:rsidRPr="005A7B74">
              <w:rPr>
                <w:noProof/>
              </w:rPr>
              <w:t>, 1-18.</w:t>
            </w:r>
          </w:p>
        </w:tc>
      </w:tr>
      <w:tr w:rsidR="00853C2A" w14:paraId="7B9890DE" w14:textId="77777777" w:rsidTr="00DF71DB">
        <w:tc>
          <w:tcPr>
            <w:tcW w:w="1525" w:type="dxa"/>
          </w:tcPr>
          <w:p w14:paraId="04539AE8" w14:textId="77777777" w:rsidR="00853C2A" w:rsidRDefault="00853C2A" w:rsidP="00853C2A">
            <w:pPr>
              <w:pStyle w:val="ListNumber"/>
              <w:spacing w:after="0" w:line="240" w:lineRule="auto"/>
              <w:ind w:left="-25"/>
              <w:rPr>
                <w:b/>
              </w:rPr>
            </w:pPr>
            <w:r w:rsidRPr="00E41671">
              <w:rPr>
                <w:b/>
              </w:rPr>
              <w:t xml:space="preserve">Module </w:t>
            </w:r>
            <w:r w:rsidR="003F749E" w:rsidRPr="00E41671">
              <w:rPr>
                <w:b/>
              </w:rPr>
              <w:t>4</w:t>
            </w:r>
            <w:r w:rsidR="00493206" w:rsidRPr="00E41671">
              <w:rPr>
                <w:b/>
              </w:rPr>
              <w:t>:</w:t>
            </w:r>
          </w:p>
          <w:p w14:paraId="166A7B98" w14:textId="77777777" w:rsidR="00500D69" w:rsidRPr="00E41671" w:rsidRDefault="00500D69" w:rsidP="00853C2A">
            <w:pPr>
              <w:pStyle w:val="ListNumber"/>
              <w:spacing w:after="0" w:line="240" w:lineRule="auto"/>
              <w:ind w:left="-25"/>
              <w:rPr>
                <w:b/>
              </w:rPr>
            </w:pPr>
          </w:p>
          <w:p w14:paraId="0E142A5F" w14:textId="77777777" w:rsidR="00853C2A" w:rsidRPr="006F0D46" w:rsidRDefault="00853C2A" w:rsidP="00853C2A">
            <w:pPr>
              <w:pStyle w:val="ListNumber"/>
              <w:spacing w:after="0" w:line="240" w:lineRule="auto"/>
              <w:ind w:left="-25"/>
            </w:pPr>
            <w:r w:rsidRPr="006F0D46">
              <w:t>Referral to Treatment</w:t>
            </w:r>
            <w:r w:rsidR="006F0D46" w:rsidRPr="006F0D46">
              <w:t xml:space="preserve"> and Follow-up</w:t>
            </w:r>
          </w:p>
        </w:tc>
        <w:tc>
          <w:tcPr>
            <w:tcW w:w="4590" w:type="dxa"/>
          </w:tcPr>
          <w:p w14:paraId="2244E336" w14:textId="77777777" w:rsidR="00EA3B78" w:rsidRDefault="00EA3B78" w:rsidP="006A0614">
            <w:pPr>
              <w:pStyle w:val="ListNumber"/>
              <w:numPr>
                <w:ilvl w:val="0"/>
                <w:numId w:val="20"/>
              </w:numPr>
              <w:tabs>
                <w:tab w:val="left" w:pos="1530"/>
              </w:tabs>
              <w:spacing w:before="120" w:line="240" w:lineRule="auto"/>
            </w:pPr>
            <w:r>
              <w:t>Learn which substance use disorder treatment options are best suited to address the needs of adolescents.</w:t>
            </w:r>
          </w:p>
          <w:p w14:paraId="30743FCA" w14:textId="77777777" w:rsidR="00911821" w:rsidRDefault="00911821" w:rsidP="006A0614">
            <w:pPr>
              <w:pStyle w:val="ListNumber"/>
              <w:numPr>
                <w:ilvl w:val="0"/>
                <w:numId w:val="20"/>
              </w:numPr>
              <w:tabs>
                <w:tab w:val="left" w:pos="1530"/>
              </w:tabs>
              <w:spacing w:before="120" w:line="240" w:lineRule="auto"/>
            </w:pPr>
            <w:r w:rsidRPr="00911821">
              <w:t>Understand unique challenges that a practitioner will encounter when referring adolescents to treatment, relating to confidentiality and push back.</w:t>
            </w:r>
          </w:p>
          <w:p w14:paraId="2C025B23" w14:textId="675484B7" w:rsidR="00EA3B78" w:rsidRDefault="00EA3B78" w:rsidP="006A0614">
            <w:pPr>
              <w:pStyle w:val="ListNumber"/>
              <w:numPr>
                <w:ilvl w:val="0"/>
                <w:numId w:val="20"/>
              </w:numPr>
              <w:tabs>
                <w:tab w:val="left" w:pos="1530"/>
              </w:tabs>
              <w:spacing w:before="120" w:line="240" w:lineRule="auto"/>
            </w:pPr>
            <w:r>
              <w:t>Recognize what constitutes a warm hand-off when referring adolescents to treatment.</w:t>
            </w:r>
          </w:p>
          <w:p w14:paraId="36788957" w14:textId="716F1CD6" w:rsidR="00853C2A" w:rsidRPr="006F0D46" w:rsidRDefault="00EA3B78" w:rsidP="006A0614">
            <w:pPr>
              <w:pStyle w:val="ListParagraph"/>
              <w:numPr>
                <w:ilvl w:val="0"/>
                <w:numId w:val="20"/>
              </w:numPr>
              <w:spacing w:before="120" w:after="120"/>
            </w:pPr>
            <w:r>
              <w:t>Understand the importance of follow-up and learn what to cover during these encounters.</w:t>
            </w:r>
          </w:p>
        </w:tc>
        <w:tc>
          <w:tcPr>
            <w:tcW w:w="8275" w:type="dxa"/>
          </w:tcPr>
          <w:p w14:paraId="3B8C0F53" w14:textId="77777777" w:rsidR="007A53F0" w:rsidRPr="007A53F0" w:rsidRDefault="007A53F0" w:rsidP="006A0614">
            <w:pPr>
              <w:pStyle w:val="ListBullet"/>
              <w:spacing w:before="120" w:after="120" w:line="240" w:lineRule="auto"/>
            </w:pPr>
            <w:r w:rsidRPr="007A53F0">
              <w:t xml:space="preserve">Fishman, M. (2020). Placement criteria and integrated treatment services for youth with substance use disorders. In Y. Kaminer &amp; K. C. Winters (Eds.), </w:t>
            </w:r>
            <w:r w:rsidRPr="007A53F0">
              <w:rPr>
                <w:i/>
                <w:iCs/>
              </w:rPr>
              <w:t>Clinical manual of youth addictive disorders</w:t>
            </w:r>
            <w:r w:rsidRPr="007A53F0">
              <w:t xml:space="preserve">, (2nd ed., pp. 123-140). American Psychiatric Association Publishing. </w:t>
            </w:r>
          </w:p>
          <w:p w14:paraId="0734AD56" w14:textId="77777777" w:rsidR="007A53F0" w:rsidRPr="007A53F0" w:rsidRDefault="007A53F0" w:rsidP="006A0614">
            <w:pPr>
              <w:pStyle w:val="ListBullet"/>
              <w:spacing w:before="120" w:after="120" w:line="240" w:lineRule="auto"/>
            </w:pPr>
            <w:r w:rsidRPr="007A53F0">
              <w:t xml:space="preserve">Kaminer, Y., Godley, M. D., Winters, K. C., &amp; Bagot, K. S. (2020). Continuity of care for abstinence and harm reduction. In Y. Kaminer &amp; K. C. Winters (Eds.), </w:t>
            </w:r>
            <w:r w:rsidRPr="007A53F0">
              <w:rPr>
                <w:i/>
                <w:iCs/>
              </w:rPr>
              <w:t>Clinical manual of youth addictive disorders</w:t>
            </w:r>
            <w:r w:rsidRPr="007A53F0">
              <w:t xml:space="preserve">, (2nd ed., pp. 255-276). American Psychiatric Association Publishing. </w:t>
            </w:r>
          </w:p>
          <w:p w14:paraId="0AEA68FA" w14:textId="77777777" w:rsidR="007A53F0" w:rsidRPr="007A53F0" w:rsidRDefault="007A53F0" w:rsidP="006A0614">
            <w:pPr>
              <w:pStyle w:val="ListBullet"/>
              <w:spacing w:before="120" w:after="120" w:line="240" w:lineRule="auto"/>
            </w:pPr>
            <w:r w:rsidRPr="007A53F0">
              <w:t xml:space="preserve">National Institute on Drug Abuse. (2014). </w:t>
            </w:r>
            <w:r w:rsidRPr="007A53F0">
              <w:rPr>
                <w:i/>
                <w:iCs/>
              </w:rPr>
              <w:t>Principles of adolescent substance use disorder treatment: A research-based guide.</w:t>
            </w:r>
            <w:r w:rsidRPr="007A53F0">
              <w:t xml:space="preserve"> </w:t>
            </w:r>
          </w:p>
          <w:p w14:paraId="4EF2F09C" w14:textId="77777777" w:rsidR="007A53F0" w:rsidRPr="007A53F0" w:rsidRDefault="007A53F0" w:rsidP="006A0614">
            <w:pPr>
              <w:pStyle w:val="ListBullet"/>
              <w:spacing w:before="120" w:after="120" w:line="240" w:lineRule="auto"/>
            </w:pPr>
            <w:r w:rsidRPr="007A53F0">
              <w:t xml:space="preserve">Williams, R. J., Chang, S. Y., &amp; Addiction Centre Adolescent Research Group. (2000). A comprehensive and comparative review of adolescent substance abuse treatment outcome. </w:t>
            </w:r>
            <w:r w:rsidRPr="007A53F0">
              <w:rPr>
                <w:i/>
                <w:iCs/>
              </w:rPr>
              <w:t>Clinical Psychology: Science and Practice</w:t>
            </w:r>
            <w:r w:rsidRPr="007A53F0">
              <w:t xml:space="preserve">, </w:t>
            </w:r>
            <w:r w:rsidRPr="007A53F0">
              <w:rPr>
                <w:i/>
                <w:iCs/>
              </w:rPr>
              <w:t>7</w:t>
            </w:r>
            <w:r w:rsidRPr="007A53F0">
              <w:t xml:space="preserve">(2), 138-166. </w:t>
            </w:r>
          </w:p>
          <w:p w14:paraId="59056929" w14:textId="77777777" w:rsidR="007A53F0" w:rsidRPr="007A53F0" w:rsidRDefault="007A53F0" w:rsidP="006A0614">
            <w:pPr>
              <w:pStyle w:val="ListBullet"/>
              <w:spacing w:before="120" w:after="120" w:line="240" w:lineRule="auto"/>
            </w:pPr>
            <w:r w:rsidRPr="007A53F0">
              <w:t xml:space="preserve">Meyers, K., Cacciola, J., Ward, S., Kaynak, O., &amp; Woodworth, A. (2014). </w:t>
            </w:r>
            <w:r w:rsidRPr="007A53F0">
              <w:rPr>
                <w:i/>
                <w:iCs/>
              </w:rPr>
              <w:t xml:space="preserve">Paving the way to change: Advancing quality interventions for adolescents who use, abuse or are dependent upon alcohol and other drugs. </w:t>
            </w:r>
            <w:r w:rsidRPr="007A53F0">
              <w:t xml:space="preserve">Treatment Research Institute. </w:t>
            </w:r>
          </w:p>
          <w:p w14:paraId="340D418D" w14:textId="23A1C381" w:rsidR="007A53F0" w:rsidRPr="006F0D46" w:rsidRDefault="007A53F0" w:rsidP="006A0614">
            <w:pPr>
              <w:pStyle w:val="ListBullet"/>
              <w:spacing w:before="120" w:after="120" w:line="240" w:lineRule="auto"/>
            </w:pPr>
            <w:r w:rsidRPr="007A53F0">
              <w:lastRenderedPageBreak/>
              <w:t xml:space="preserve">Winters, K. C., Tanner-Smith, E. E., Bresani, E., &amp; Meyers, K. (2014). Current advances in the treatment of adolescent drug use. </w:t>
            </w:r>
            <w:r w:rsidRPr="007A53F0">
              <w:rPr>
                <w:i/>
                <w:iCs/>
              </w:rPr>
              <w:t>Adolescent Health, Medicine and Therapeutics, 5</w:t>
            </w:r>
            <w:r w:rsidRPr="007A53F0">
              <w:t>, 199-210.</w:t>
            </w:r>
          </w:p>
        </w:tc>
      </w:tr>
      <w:tr w:rsidR="00853C2A" w14:paraId="14F5243D" w14:textId="77777777" w:rsidTr="00DF71DB">
        <w:tc>
          <w:tcPr>
            <w:tcW w:w="1525" w:type="dxa"/>
          </w:tcPr>
          <w:p w14:paraId="26FA7BE7" w14:textId="77777777" w:rsidR="00853C2A" w:rsidRDefault="00853C2A" w:rsidP="002317D6">
            <w:pPr>
              <w:pStyle w:val="ListNumber"/>
              <w:spacing w:after="0" w:line="240" w:lineRule="auto"/>
              <w:ind w:left="-25"/>
              <w:rPr>
                <w:b/>
              </w:rPr>
            </w:pPr>
            <w:r w:rsidRPr="00E41671">
              <w:rPr>
                <w:b/>
              </w:rPr>
              <w:lastRenderedPageBreak/>
              <w:t xml:space="preserve">Module </w:t>
            </w:r>
            <w:r w:rsidR="003F749E" w:rsidRPr="00E41671">
              <w:rPr>
                <w:b/>
              </w:rPr>
              <w:t>5</w:t>
            </w:r>
            <w:r w:rsidR="00493206" w:rsidRPr="00E41671">
              <w:rPr>
                <w:b/>
              </w:rPr>
              <w:t>:</w:t>
            </w:r>
          </w:p>
          <w:p w14:paraId="72700C14" w14:textId="77777777" w:rsidR="00500D69" w:rsidRPr="00E41671" w:rsidRDefault="00500D69" w:rsidP="002317D6">
            <w:pPr>
              <w:pStyle w:val="ListNumber"/>
              <w:spacing w:after="0" w:line="240" w:lineRule="auto"/>
              <w:ind w:left="-25"/>
              <w:rPr>
                <w:b/>
              </w:rPr>
            </w:pPr>
          </w:p>
          <w:p w14:paraId="4F8C6030" w14:textId="77777777" w:rsidR="00853C2A" w:rsidRPr="006F0D46" w:rsidRDefault="00853C2A" w:rsidP="002317D6">
            <w:pPr>
              <w:spacing w:after="240"/>
            </w:pPr>
            <w:r w:rsidRPr="006F0D46">
              <w:t>Motivational Interviewing Strategies</w:t>
            </w:r>
          </w:p>
        </w:tc>
        <w:tc>
          <w:tcPr>
            <w:tcW w:w="4590" w:type="dxa"/>
          </w:tcPr>
          <w:p w14:paraId="162173AF" w14:textId="43887034" w:rsidR="00EA3B78" w:rsidRDefault="00EA3B78" w:rsidP="006A0614">
            <w:pPr>
              <w:pStyle w:val="ListNumber"/>
              <w:numPr>
                <w:ilvl w:val="0"/>
                <w:numId w:val="26"/>
              </w:numPr>
              <w:spacing w:before="120" w:line="240" w:lineRule="auto"/>
            </w:pPr>
            <w:r>
              <w:t xml:space="preserve">Learn to use </w:t>
            </w:r>
            <w:r w:rsidR="00212585">
              <w:t>M</w:t>
            </w:r>
            <w:r>
              <w:t xml:space="preserve">otivational </w:t>
            </w:r>
            <w:r w:rsidR="00212585">
              <w:t>I</w:t>
            </w:r>
            <w:r>
              <w:t>nterviewing strategies as part of conducting b</w:t>
            </w:r>
            <w:r w:rsidRPr="006F0D46">
              <w:t xml:space="preserve">rief </w:t>
            </w:r>
            <w:r>
              <w:t>i</w:t>
            </w:r>
            <w:r w:rsidRPr="006F0D46">
              <w:t>ntervention</w:t>
            </w:r>
            <w:r>
              <w:t>s:</w:t>
            </w:r>
          </w:p>
          <w:p w14:paraId="1C5FB374" w14:textId="77777777" w:rsidR="00EA3B78" w:rsidRDefault="00EA3B78" w:rsidP="006A0614">
            <w:pPr>
              <w:pStyle w:val="ListNumber"/>
              <w:numPr>
                <w:ilvl w:val="0"/>
                <w:numId w:val="36"/>
              </w:numPr>
              <w:spacing w:before="120" w:line="240" w:lineRule="auto"/>
            </w:pPr>
            <w:r w:rsidRPr="006F0D46">
              <w:t>Assess readiness to change</w:t>
            </w:r>
          </w:p>
          <w:p w14:paraId="1E74296E" w14:textId="77777777" w:rsidR="00EA3B78" w:rsidRDefault="00EA3B78" w:rsidP="006A0614">
            <w:pPr>
              <w:pStyle w:val="ListNumber"/>
              <w:numPr>
                <w:ilvl w:val="0"/>
                <w:numId w:val="36"/>
              </w:numPr>
              <w:spacing w:before="120" w:line="240" w:lineRule="auto"/>
            </w:pPr>
            <w:r w:rsidRPr="006F0D46">
              <w:t>Ask open-ended questions</w:t>
            </w:r>
          </w:p>
          <w:p w14:paraId="696634F4" w14:textId="77777777" w:rsidR="00EA3B78" w:rsidRDefault="00EA3B78" w:rsidP="006A0614">
            <w:pPr>
              <w:pStyle w:val="ListNumber"/>
              <w:numPr>
                <w:ilvl w:val="0"/>
                <w:numId w:val="36"/>
              </w:numPr>
              <w:spacing w:before="120" w:line="240" w:lineRule="auto"/>
            </w:pPr>
            <w:r>
              <w:t>Affirm</w:t>
            </w:r>
          </w:p>
          <w:p w14:paraId="110A663C" w14:textId="77777777" w:rsidR="00EA3B78" w:rsidRDefault="00EA3B78" w:rsidP="006A0614">
            <w:pPr>
              <w:pStyle w:val="ListNumber"/>
              <w:numPr>
                <w:ilvl w:val="0"/>
                <w:numId w:val="36"/>
              </w:numPr>
              <w:spacing w:before="120" w:line="240" w:lineRule="auto"/>
            </w:pPr>
            <w:r w:rsidRPr="006F0D46">
              <w:t>Utilize reflective listening</w:t>
            </w:r>
          </w:p>
          <w:p w14:paraId="5700CD5C" w14:textId="77777777" w:rsidR="00EA3B78" w:rsidRDefault="00EA3B78" w:rsidP="006A0614">
            <w:pPr>
              <w:pStyle w:val="ListNumber"/>
              <w:numPr>
                <w:ilvl w:val="0"/>
                <w:numId w:val="36"/>
              </w:numPr>
              <w:spacing w:before="120" w:line="240" w:lineRule="auto"/>
            </w:pPr>
            <w:r w:rsidRPr="006F0D46">
              <w:t>Summarize thoughts and feelings</w:t>
            </w:r>
          </w:p>
          <w:p w14:paraId="54D319CA" w14:textId="77777777" w:rsidR="00EA3B78" w:rsidRDefault="00EA3B78" w:rsidP="006A0614">
            <w:pPr>
              <w:pStyle w:val="ListNumber"/>
              <w:numPr>
                <w:ilvl w:val="0"/>
                <w:numId w:val="36"/>
              </w:numPr>
              <w:spacing w:before="120" w:line="240" w:lineRule="auto"/>
            </w:pPr>
            <w:r w:rsidRPr="006F0D46">
              <w:t>Elicit change talk</w:t>
            </w:r>
          </w:p>
          <w:p w14:paraId="41912C48" w14:textId="77777777" w:rsidR="00EA3B78" w:rsidRDefault="00EA3B78" w:rsidP="006A0614">
            <w:pPr>
              <w:pStyle w:val="ListNumber"/>
              <w:numPr>
                <w:ilvl w:val="0"/>
                <w:numId w:val="36"/>
              </w:numPr>
              <w:spacing w:before="120" w:line="240" w:lineRule="auto"/>
            </w:pPr>
            <w:r>
              <w:t>A</w:t>
            </w:r>
            <w:r w:rsidRPr="006F0D46">
              <w:t>sk permission and give advice</w:t>
            </w:r>
          </w:p>
          <w:p w14:paraId="795C8E16" w14:textId="77777777" w:rsidR="00EA3B78" w:rsidRDefault="00EA3B78" w:rsidP="006A0614">
            <w:pPr>
              <w:pStyle w:val="ListNumber"/>
              <w:numPr>
                <w:ilvl w:val="0"/>
                <w:numId w:val="36"/>
              </w:numPr>
              <w:spacing w:before="120" w:line="240" w:lineRule="auto"/>
            </w:pPr>
            <w:r w:rsidRPr="006F0D46">
              <w:t>Generate options</w:t>
            </w:r>
          </w:p>
          <w:p w14:paraId="2AE8A149" w14:textId="6EC3CA37" w:rsidR="00853C2A" w:rsidRPr="006F0D46" w:rsidRDefault="00EA3B78" w:rsidP="006A0614">
            <w:pPr>
              <w:pStyle w:val="ListNumber"/>
              <w:numPr>
                <w:ilvl w:val="0"/>
                <w:numId w:val="36"/>
              </w:numPr>
              <w:spacing w:before="120" w:line="240" w:lineRule="auto"/>
            </w:pPr>
            <w:r w:rsidRPr="006F0D46">
              <w:t>Manage pushback</w:t>
            </w:r>
          </w:p>
        </w:tc>
        <w:tc>
          <w:tcPr>
            <w:tcW w:w="8275" w:type="dxa"/>
          </w:tcPr>
          <w:p w14:paraId="6CBCE404" w14:textId="77777777" w:rsidR="00B814AF" w:rsidRPr="00B814AF" w:rsidRDefault="00B814AF" w:rsidP="006A0614">
            <w:pPr>
              <w:pStyle w:val="ListBullet"/>
              <w:spacing w:before="120" w:after="120" w:line="240" w:lineRule="auto"/>
            </w:pPr>
            <w:r w:rsidRPr="00B814AF">
              <w:t xml:space="preserve">Hassan, A., Harris, S. K., &amp; Knight, J. R. (2020). Primary care and pediatric settings: Screening, brief intervention, and referral to treatment (SBIRT). In Y. Kaminer &amp; K. C. Winters (Eds.), </w:t>
            </w:r>
            <w:r w:rsidRPr="00B814AF">
              <w:rPr>
                <w:i/>
                <w:iCs/>
              </w:rPr>
              <w:t>Clinical manual of youth addictive disorders</w:t>
            </w:r>
            <w:r w:rsidRPr="00B814AF">
              <w:t xml:space="preserve">, (2nd ed., pp. 75-96). American Psychiatric Association Publishing. </w:t>
            </w:r>
          </w:p>
          <w:p w14:paraId="25844D23" w14:textId="77777777" w:rsidR="00B814AF" w:rsidRPr="00B814AF" w:rsidRDefault="00B814AF" w:rsidP="006A0614">
            <w:pPr>
              <w:pStyle w:val="ListBullet"/>
              <w:spacing w:before="120" w:after="120" w:line="240" w:lineRule="auto"/>
            </w:pPr>
            <w:r w:rsidRPr="00B814AF">
              <w:t xml:space="preserve">Spirito, A., Kaminer, Y., &amp; McManama O’Brien, K. H. (2020). Brief motivational interventions, cognitive-behavioral therapy, and contingency management. In Y. Kaminer &amp; K. C. Winters (Eds.), </w:t>
            </w:r>
            <w:r w:rsidRPr="00B814AF">
              <w:rPr>
                <w:i/>
                <w:iCs/>
              </w:rPr>
              <w:t>Clinical manual of youth addictive disorders</w:t>
            </w:r>
            <w:r w:rsidRPr="00B814AF">
              <w:t xml:space="preserve">, (2nd ed., pp. 277-300). American Psychiatric Association Publishing. </w:t>
            </w:r>
          </w:p>
          <w:p w14:paraId="5F900FE7" w14:textId="77777777" w:rsidR="00B814AF" w:rsidRPr="00B814AF" w:rsidRDefault="00B814AF" w:rsidP="006A0614">
            <w:pPr>
              <w:pStyle w:val="ListBullet"/>
              <w:spacing w:before="120" w:after="120" w:line="240" w:lineRule="auto"/>
            </w:pPr>
            <w:r w:rsidRPr="00B814AF">
              <w:t xml:space="preserve">Jensen, C. D., Cushing, C. C., Aylward, B. S., Craig, J. T., Sorell, D. M., &amp; Steele, R. G. (2011). Effectiveness of motivational interviewing interventions for adolescent substance use behavior change: A meta-analytic review. </w:t>
            </w:r>
            <w:r w:rsidRPr="00B814AF">
              <w:rPr>
                <w:i/>
                <w:iCs/>
              </w:rPr>
              <w:t>Journal of Consulting and Clinical Psychology, 79</w:t>
            </w:r>
            <w:r w:rsidRPr="00B814AF">
              <w:t xml:space="preserve">(4), 433-440. </w:t>
            </w:r>
          </w:p>
          <w:p w14:paraId="3C45E8FE" w14:textId="77777777" w:rsidR="00B814AF" w:rsidRPr="00B814AF" w:rsidRDefault="00B814AF" w:rsidP="006A0614">
            <w:pPr>
              <w:pStyle w:val="ListBullet"/>
              <w:spacing w:before="120" w:after="120" w:line="240" w:lineRule="auto"/>
            </w:pPr>
            <w:r w:rsidRPr="00B814AF">
              <w:t xml:space="preserve">Gold, M. A., &amp; Kokotailo, P. K. (2007). Motivational interviewing strategies to facilitate adolescent behavior change. </w:t>
            </w:r>
            <w:r w:rsidRPr="00B814AF">
              <w:rPr>
                <w:i/>
                <w:iCs/>
              </w:rPr>
              <w:t>Adolescent Health Update, 20</w:t>
            </w:r>
            <w:r w:rsidRPr="00B814AF">
              <w:t>(1), 1-10.</w:t>
            </w:r>
          </w:p>
          <w:p w14:paraId="61083555" w14:textId="77777777" w:rsidR="00B814AF" w:rsidRPr="00B814AF" w:rsidRDefault="00B814AF" w:rsidP="006A0614">
            <w:pPr>
              <w:pStyle w:val="ListBullet"/>
              <w:spacing w:before="120" w:after="120" w:line="240" w:lineRule="auto"/>
            </w:pPr>
            <w:r w:rsidRPr="00B814AF">
              <w:t xml:space="preserve">Naar-King, S., &amp; Suarez, M. (2011). </w:t>
            </w:r>
            <w:r w:rsidRPr="00B814AF">
              <w:rPr>
                <w:i/>
                <w:iCs/>
              </w:rPr>
              <w:t>Motivational interviewing with adolescents and young adults</w:t>
            </w:r>
            <w:r w:rsidRPr="00B814AF">
              <w:t>. Guilford Press.</w:t>
            </w:r>
          </w:p>
          <w:p w14:paraId="12F2EEA6" w14:textId="77777777" w:rsidR="00B814AF" w:rsidRPr="00B814AF" w:rsidRDefault="00B814AF" w:rsidP="006A0614">
            <w:pPr>
              <w:pStyle w:val="ListBullet"/>
              <w:spacing w:before="120" w:after="120" w:line="240" w:lineRule="auto"/>
            </w:pPr>
            <w:r w:rsidRPr="00B814AF">
              <w:t xml:space="preserve">Substance Abuse and Mental Health Services Administration. (2019). </w:t>
            </w:r>
            <w:r w:rsidRPr="00B814AF">
              <w:rPr>
                <w:i/>
                <w:iCs/>
              </w:rPr>
              <w:t>Enhancing motivation for change in substance use disorder treatment. Treatment improvement protocol (TIP) 35.</w:t>
            </w:r>
            <w:r w:rsidRPr="00B814AF">
              <w:t xml:space="preserve"> </w:t>
            </w:r>
          </w:p>
          <w:p w14:paraId="69023697" w14:textId="2FB66270" w:rsidR="00B814AF" w:rsidRPr="006F0D46" w:rsidRDefault="00B814AF" w:rsidP="006A0614">
            <w:pPr>
              <w:pStyle w:val="ListBullet"/>
              <w:spacing w:before="120" w:after="120" w:line="240" w:lineRule="auto"/>
            </w:pPr>
            <w:r w:rsidRPr="00B814AF">
              <w:t xml:space="preserve">Grenard, J. L., Ames, S. L., Pentz, M. A., &amp; Sussman, S. (2006). Motivational interviewing with adolescents and young adults for drug-related problems. </w:t>
            </w:r>
            <w:r w:rsidRPr="00B814AF">
              <w:rPr>
                <w:i/>
                <w:iCs/>
              </w:rPr>
              <w:t>International Journal of Adolescent Medicine and Health, 18</w:t>
            </w:r>
            <w:r w:rsidRPr="00B814AF">
              <w:t>(1), 53-67.</w:t>
            </w:r>
          </w:p>
        </w:tc>
      </w:tr>
    </w:tbl>
    <w:p w14:paraId="1B7BE26C" w14:textId="77777777" w:rsidR="00C16CF5" w:rsidRDefault="00C16CF5" w:rsidP="005A70E7">
      <w:pPr>
        <w:spacing w:after="240" w:line="276" w:lineRule="auto"/>
        <w:rPr>
          <w:rFonts w:ascii="Tahoma" w:hAnsi="Tahoma" w:cs="Tahoma"/>
        </w:rPr>
      </w:pPr>
    </w:p>
    <w:sectPr w:rsidR="00C16CF5" w:rsidSect="00853C2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55668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3AE8D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F"/>
    <w:multiLevelType w:val="singleLevel"/>
    <w:tmpl w:val="7368F9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8"/>
    <w:multiLevelType w:val="singleLevel"/>
    <w:tmpl w:val="E1F4053A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" w15:restartNumberingAfterBreak="0">
    <w:nsid w:val="FFFFFF89"/>
    <w:multiLevelType w:val="singleLevel"/>
    <w:tmpl w:val="BDA04A0C"/>
    <w:lvl w:ilvl="0">
      <w:start w:val="1"/>
      <w:numFmt w:val="bullet"/>
      <w:pStyle w:val="ListBullet"/>
      <w:lvlText w:val="■"/>
      <w:lvlJc w:val="left"/>
      <w:pPr>
        <w:ind w:left="360" w:hanging="360"/>
      </w:pPr>
      <w:rPr>
        <w:rFonts w:ascii="Times New Roman" w:hAnsi="Times New Roman" w:cs="Times New Roman" w:hint="default"/>
        <w:color w:val="1C2F5C"/>
        <w:sz w:val="16"/>
        <w:szCs w:val="16"/>
      </w:rPr>
    </w:lvl>
  </w:abstractNum>
  <w:abstractNum w:abstractNumId="5" w15:restartNumberingAfterBreak="0">
    <w:nsid w:val="0383746C"/>
    <w:multiLevelType w:val="hybridMultilevel"/>
    <w:tmpl w:val="3650210C"/>
    <w:lvl w:ilvl="0" w:tplc="56AED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D4D22"/>
    <w:multiLevelType w:val="hybridMultilevel"/>
    <w:tmpl w:val="9286A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C36D42"/>
    <w:multiLevelType w:val="hybridMultilevel"/>
    <w:tmpl w:val="D88CF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E0DE5"/>
    <w:multiLevelType w:val="hybridMultilevel"/>
    <w:tmpl w:val="58983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65EE2"/>
    <w:multiLevelType w:val="hybridMultilevel"/>
    <w:tmpl w:val="A386E430"/>
    <w:lvl w:ilvl="0" w:tplc="BA68A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681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401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AC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CCC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E0D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A88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D83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AD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6E92F81"/>
    <w:multiLevelType w:val="hybridMultilevel"/>
    <w:tmpl w:val="37C29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0C4C90"/>
    <w:multiLevelType w:val="hybridMultilevel"/>
    <w:tmpl w:val="F0881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732D4"/>
    <w:multiLevelType w:val="hybridMultilevel"/>
    <w:tmpl w:val="E33AB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B17B6"/>
    <w:multiLevelType w:val="hybridMultilevel"/>
    <w:tmpl w:val="C64CFC68"/>
    <w:lvl w:ilvl="0" w:tplc="CD500F6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93CD4"/>
    <w:multiLevelType w:val="hybridMultilevel"/>
    <w:tmpl w:val="4C3876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7A6877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DE2F6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B9206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5E44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524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7A6D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B6CBB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5430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EE4AD5"/>
    <w:multiLevelType w:val="hybridMultilevel"/>
    <w:tmpl w:val="0AA22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E35A98"/>
    <w:multiLevelType w:val="hybridMultilevel"/>
    <w:tmpl w:val="A5868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23493"/>
    <w:multiLevelType w:val="hybridMultilevel"/>
    <w:tmpl w:val="8B1C2F70"/>
    <w:lvl w:ilvl="0" w:tplc="56AED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A84EBB"/>
    <w:multiLevelType w:val="hybridMultilevel"/>
    <w:tmpl w:val="60307436"/>
    <w:lvl w:ilvl="0" w:tplc="CD500F6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E1229"/>
    <w:multiLevelType w:val="hybridMultilevel"/>
    <w:tmpl w:val="6C2A1A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24599"/>
    <w:multiLevelType w:val="hybridMultilevel"/>
    <w:tmpl w:val="37C29F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252DBF"/>
    <w:multiLevelType w:val="hybridMultilevel"/>
    <w:tmpl w:val="68E23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67959"/>
    <w:multiLevelType w:val="multilevel"/>
    <w:tmpl w:val="59FA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5A6721"/>
    <w:multiLevelType w:val="hybridMultilevel"/>
    <w:tmpl w:val="750EFA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C84421"/>
    <w:multiLevelType w:val="hybridMultilevel"/>
    <w:tmpl w:val="ECBC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D712E"/>
    <w:multiLevelType w:val="hybridMultilevel"/>
    <w:tmpl w:val="EBAA7CCE"/>
    <w:lvl w:ilvl="0" w:tplc="365C6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063F1"/>
    <w:multiLevelType w:val="hybridMultilevel"/>
    <w:tmpl w:val="0D1C5EB0"/>
    <w:lvl w:ilvl="0" w:tplc="EBFCA4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7523DC"/>
    <w:multiLevelType w:val="hybridMultilevel"/>
    <w:tmpl w:val="CA68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951DF"/>
    <w:multiLevelType w:val="hybridMultilevel"/>
    <w:tmpl w:val="2F565F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40A9F"/>
    <w:multiLevelType w:val="hybridMultilevel"/>
    <w:tmpl w:val="E7FC34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B71BC5"/>
    <w:multiLevelType w:val="hybridMultilevel"/>
    <w:tmpl w:val="26B68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C6DF1"/>
    <w:multiLevelType w:val="hybridMultilevel"/>
    <w:tmpl w:val="1EC858FC"/>
    <w:lvl w:ilvl="0" w:tplc="C5F26E60">
      <w:start w:val="1"/>
      <w:numFmt w:val="bullet"/>
      <w:lvlText w:val="■"/>
      <w:lvlJc w:val="left"/>
      <w:pPr>
        <w:ind w:left="360" w:hanging="360"/>
      </w:pPr>
      <w:rPr>
        <w:rFonts w:ascii="Times New Roman" w:hAnsi="Times New Roman" w:cs="Times New Roman" w:hint="default"/>
        <w:color w:val="1C2F5C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7501308">
    <w:abstractNumId w:val="22"/>
  </w:num>
  <w:num w:numId="2" w16cid:durableId="1010790595">
    <w:abstractNumId w:val="14"/>
  </w:num>
  <w:num w:numId="3" w16cid:durableId="1863392146">
    <w:abstractNumId w:val="14"/>
    <w:lvlOverride w:ilvl="0">
      <w:lvl w:ilvl="0" w:tplc="0409000F">
        <w:numFmt w:val="decimal"/>
        <w:lvlText w:val=""/>
        <w:lvlJc w:val="left"/>
      </w:lvl>
    </w:lvlOverride>
    <w:lvlOverride w:ilvl="1">
      <w:lvl w:ilvl="1" w:tplc="7A6877C8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496804581">
    <w:abstractNumId w:val="14"/>
    <w:lvlOverride w:ilvl="0">
      <w:lvl w:ilvl="0" w:tplc="0409000F">
        <w:numFmt w:val="decimal"/>
        <w:lvlText w:val=""/>
        <w:lvlJc w:val="left"/>
      </w:lvl>
    </w:lvlOverride>
    <w:lvlOverride w:ilvl="1">
      <w:lvl w:ilvl="1" w:tplc="7A6877C8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 w:tplc="93DE2F6C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5" w16cid:durableId="33776637">
    <w:abstractNumId w:val="14"/>
    <w:lvlOverride w:ilvl="0">
      <w:lvl w:ilvl="0" w:tplc="0409000F">
        <w:numFmt w:val="decimal"/>
        <w:lvlText w:val=""/>
        <w:lvlJc w:val="left"/>
      </w:lvl>
    </w:lvlOverride>
    <w:lvlOverride w:ilvl="1">
      <w:lvl w:ilvl="1" w:tplc="7A6877C8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 w:tplc="93DE2F6C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6" w16cid:durableId="167134394">
    <w:abstractNumId w:val="24"/>
  </w:num>
  <w:num w:numId="7" w16cid:durableId="1128667045">
    <w:abstractNumId w:val="11"/>
  </w:num>
  <w:num w:numId="8" w16cid:durableId="1581989066">
    <w:abstractNumId w:val="4"/>
  </w:num>
  <w:num w:numId="9" w16cid:durableId="2018343180">
    <w:abstractNumId w:val="3"/>
  </w:num>
  <w:num w:numId="10" w16cid:durableId="356977149">
    <w:abstractNumId w:val="1"/>
  </w:num>
  <w:num w:numId="11" w16cid:durableId="336228303">
    <w:abstractNumId w:val="2"/>
  </w:num>
  <w:num w:numId="12" w16cid:durableId="1890024398">
    <w:abstractNumId w:val="13"/>
  </w:num>
  <w:num w:numId="13" w16cid:durableId="1537231697">
    <w:abstractNumId w:val="18"/>
  </w:num>
  <w:num w:numId="14" w16cid:durableId="1754859962">
    <w:abstractNumId w:val="0"/>
  </w:num>
  <w:num w:numId="15" w16cid:durableId="188104522">
    <w:abstractNumId w:val="19"/>
  </w:num>
  <w:num w:numId="16" w16cid:durableId="1060248475">
    <w:abstractNumId w:val="12"/>
  </w:num>
  <w:num w:numId="17" w16cid:durableId="191459770">
    <w:abstractNumId w:val="30"/>
  </w:num>
  <w:num w:numId="18" w16cid:durableId="2038041353">
    <w:abstractNumId w:val="21"/>
  </w:num>
  <w:num w:numId="19" w16cid:durableId="859666282">
    <w:abstractNumId w:val="8"/>
  </w:num>
  <w:num w:numId="20" w16cid:durableId="721051967">
    <w:abstractNumId w:val="15"/>
  </w:num>
  <w:num w:numId="21" w16cid:durableId="274488518">
    <w:abstractNumId w:val="31"/>
  </w:num>
  <w:num w:numId="22" w16cid:durableId="1810398889">
    <w:abstractNumId w:val="10"/>
  </w:num>
  <w:num w:numId="23" w16cid:durableId="1895433762">
    <w:abstractNumId w:val="23"/>
  </w:num>
  <w:num w:numId="24" w16cid:durableId="470055782">
    <w:abstractNumId w:val="6"/>
  </w:num>
  <w:num w:numId="25" w16cid:durableId="800224924">
    <w:abstractNumId w:val="29"/>
  </w:num>
  <w:num w:numId="26" w16cid:durableId="794760340">
    <w:abstractNumId w:val="17"/>
  </w:num>
  <w:num w:numId="27" w16cid:durableId="1791969942">
    <w:abstractNumId w:val="26"/>
  </w:num>
  <w:num w:numId="28" w16cid:durableId="991953945">
    <w:abstractNumId w:val="28"/>
  </w:num>
  <w:num w:numId="29" w16cid:durableId="1145196941">
    <w:abstractNumId w:val="5"/>
  </w:num>
  <w:num w:numId="30" w16cid:durableId="894508633">
    <w:abstractNumId w:val="3"/>
    <w:lvlOverride w:ilvl="0">
      <w:startOverride w:val="1"/>
    </w:lvlOverride>
  </w:num>
  <w:num w:numId="31" w16cid:durableId="1217662502">
    <w:abstractNumId w:val="16"/>
  </w:num>
  <w:num w:numId="32" w16cid:durableId="221790126">
    <w:abstractNumId w:val="25"/>
  </w:num>
  <w:num w:numId="33" w16cid:durableId="748235473">
    <w:abstractNumId w:val="9"/>
  </w:num>
  <w:num w:numId="34" w16cid:durableId="958605913">
    <w:abstractNumId w:val="20"/>
  </w:num>
  <w:num w:numId="35" w16cid:durableId="1266966076">
    <w:abstractNumId w:val="7"/>
  </w:num>
  <w:num w:numId="36" w16cid:durableId="146677586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9F9"/>
    <w:rsid w:val="000304BB"/>
    <w:rsid w:val="00050878"/>
    <w:rsid w:val="000728E2"/>
    <w:rsid w:val="00083BAB"/>
    <w:rsid w:val="000912E3"/>
    <w:rsid w:val="000951B6"/>
    <w:rsid w:val="00095EB8"/>
    <w:rsid w:val="00097F45"/>
    <w:rsid w:val="000A6D51"/>
    <w:rsid w:val="000C7DBC"/>
    <w:rsid w:val="000D06CD"/>
    <w:rsid w:val="000E3244"/>
    <w:rsid w:val="000E70A2"/>
    <w:rsid w:val="000F058D"/>
    <w:rsid w:val="00183D30"/>
    <w:rsid w:val="00193534"/>
    <w:rsid w:val="001E1B82"/>
    <w:rsid w:val="001F6E1E"/>
    <w:rsid w:val="001F7E78"/>
    <w:rsid w:val="00212585"/>
    <w:rsid w:val="002317D6"/>
    <w:rsid w:val="00252EFA"/>
    <w:rsid w:val="00264306"/>
    <w:rsid w:val="00281760"/>
    <w:rsid w:val="00281BEB"/>
    <w:rsid w:val="002E0A70"/>
    <w:rsid w:val="002E5EBC"/>
    <w:rsid w:val="00307EB9"/>
    <w:rsid w:val="0035141E"/>
    <w:rsid w:val="0035286B"/>
    <w:rsid w:val="00353535"/>
    <w:rsid w:val="00357322"/>
    <w:rsid w:val="00367B42"/>
    <w:rsid w:val="0037720F"/>
    <w:rsid w:val="00380996"/>
    <w:rsid w:val="003904A7"/>
    <w:rsid w:val="00397FE4"/>
    <w:rsid w:val="003C2556"/>
    <w:rsid w:val="003C5855"/>
    <w:rsid w:val="003D4F8C"/>
    <w:rsid w:val="003F749E"/>
    <w:rsid w:val="00405F04"/>
    <w:rsid w:val="0040675D"/>
    <w:rsid w:val="0041298E"/>
    <w:rsid w:val="0044535A"/>
    <w:rsid w:val="00467696"/>
    <w:rsid w:val="00493206"/>
    <w:rsid w:val="00495B95"/>
    <w:rsid w:val="004A15A5"/>
    <w:rsid w:val="004C1E74"/>
    <w:rsid w:val="004F12A4"/>
    <w:rsid w:val="00500D69"/>
    <w:rsid w:val="00532D24"/>
    <w:rsid w:val="00540854"/>
    <w:rsid w:val="0057630E"/>
    <w:rsid w:val="005A70E7"/>
    <w:rsid w:val="005A7B74"/>
    <w:rsid w:val="005C4FAC"/>
    <w:rsid w:val="005C6517"/>
    <w:rsid w:val="005E6FD1"/>
    <w:rsid w:val="00605E10"/>
    <w:rsid w:val="00643ECB"/>
    <w:rsid w:val="0065557B"/>
    <w:rsid w:val="006909F9"/>
    <w:rsid w:val="006A0614"/>
    <w:rsid w:val="006B3501"/>
    <w:rsid w:val="006C0AB4"/>
    <w:rsid w:val="006C21F3"/>
    <w:rsid w:val="006D2B71"/>
    <w:rsid w:val="006F002E"/>
    <w:rsid w:val="006F0D46"/>
    <w:rsid w:val="007279BA"/>
    <w:rsid w:val="00734EB7"/>
    <w:rsid w:val="007650BD"/>
    <w:rsid w:val="007762AF"/>
    <w:rsid w:val="00792A17"/>
    <w:rsid w:val="007A53F0"/>
    <w:rsid w:val="007E623F"/>
    <w:rsid w:val="00805FCD"/>
    <w:rsid w:val="00853C2A"/>
    <w:rsid w:val="0088182A"/>
    <w:rsid w:val="008866A4"/>
    <w:rsid w:val="008968F2"/>
    <w:rsid w:val="008D4A8E"/>
    <w:rsid w:val="008E7594"/>
    <w:rsid w:val="00911821"/>
    <w:rsid w:val="0091417B"/>
    <w:rsid w:val="00917768"/>
    <w:rsid w:val="00970D69"/>
    <w:rsid w:val="00984378"/>
    <w:rsid w:val="00995B7F"/>
    <w:rsid w:val="009C68EB"/>
    <w:rsid w:val="009D41F8"/>
    <w:rsid w:val="009E0490"/>
    <w:rsid w:val="009F7BCC"/>
    <w:rsid w:val="00A0083C"/>
    <w:rsid w:val="00A625E4"/>
    <w:rsid w:val="00AF35F5"/>
    <w:rsid w:val="00B0773E"/>
    <w:rsid w:val="00B11CC9"/>
    <w:rsid w:val="00B21C8F"/>
    <w:rsid w:val="00B42D5F"/>
    <w:rsid w:val="00B70D12"/>
    <w:rsid w:val="00B814AF"/>
    <w:rsid w:val="00B83DE8"/>
    <w:rsid w:val="00BA794A"/>
    <w:rsid w:val="00BC4A76"/>
    <w:rsid w:val="00BF44A7"/>
    <w:rsid w:val="00C16CF5"/>
    <w:rsid w:val="00C275C3"/>
    <w:rsid w:val="00C668AD"/>
    <w:rsid w:val="00C86D7D"/>
    <w:rsid w:val="00CC2DC6"/>
    <w:rsid w:val="00CC514D"/>
    <w:rsid w:val="00CC5186"/>
    <w:rsid w:val="00CE19C8"/>
    <w:rsid w:val="00D17123"/>
    <w:rsid w:val="00DF71DB"/>
    <w:rsid w:val="00E11B9F"/>
    <w:rsid w:val="00E12B73"/>
    <w:rsid w:val="00E41671"/>
    <w:rsid w:val="00E5410B"/>
    <w:rsid w:val="00E629EF"/>
    <w:rsid w:val="00E91AFA"/>
    <w:rsid w:val="00EA3B78"/>
    <w:rsid w:val="00EE0D16"/>
    <w:rsid w:val="00F01CEE"/>
    <w:rsid w:val="00F110C9"/>
    <w:rsid w:val="00F154D3"/>
    <w:rsid w:val="00F43A35"/>
    <w:rsid w:val="00FC4224"/>
    <w:rsid w:val="00FC5BD3"/>
    <w:rsid w:val="00FC7685"/>
    <w:rsid w:val="00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C8920"/>
  <w15:docId w15:val="{897F4188-3BE9-47A5-BE41-519AB096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5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8E2"/>
  </w:style>
  <w:style w:type="paragraph" w:styleId="Heading1">
    <w:name w:val="heading 1"/>
    <w:basedOn w:val="Normal"/>
    <w:link w:val="Heading1Char"/>
    <w:uiPriority w:val="9"/>
    <w:qFormat/>
    <w:rsid w:val="006909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5"/>
    <w:qFormat/>
    <w:rsid w:val="00097F45"/>
    <w:pPr>
      <w:keepNext/>
      <w:keepLines/>
      <w:tabs>
        <w:tab w:val="left" w:pos="504"/>
      </w:tabs>
      <w:spacing w:before="360" w:after="240" w:line="240" w:lineRule="auto"/>
      <w:outlineLvl w:val="1"/>
    </w:pPr>
    <w:rPr>
      <w:rFonts w:ascii="Arial" w:hAnsi="Arial" w:cs="Times New Roman"/>
      <w:b/>
      <w:bCs/>
      <w:iCs/>
      <w:color w:val="1C2F5C"/>
      <w:sz w:val="24"/>
      <w:szCs w:val="28"/>
    </w:rPr>
  </w:style>
  <w:style w:type="paragraph" w:styleId="Heading3">
    <w:name w:val="heading 3"/>
    <w:basedOn w:val="Normal"/>
    <w:link w:val="Heading3Char"/>
    <w:uiPriority w:val="9"/>
    <w:qFormat/>
    <w:rsid w:val="006909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7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9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909F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6909F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909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909F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909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909F9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90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6909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909F9"/>
    <w:rPr>
      <w:b/>
      <w:bCs/>
    </w:rPr>
  </w:style>
  <w:style w:type="character" w:styleId="Emphasis">
    <w:name w:val="Emphasis"/>
    <w:basedOn w:val="DefaultParagraphFont"/>
    <w:uiPriority w:val="20"/>
    <w:qFormat/>
    <w:rsid w:val="006909F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09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09F9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909F9"/>
    <w:pPr>
      <w:ind w:left="720"/>
      <w:contextualSpacing/>
    </w:pPr>
  </w:style>
  <w:style w:type="paragraph" w:customStyle="1" w:styleId="InsideCoverHead1">
    <w:name w:val="Inside Cover Head 1"/>
    <w:basedOn w:val="Normal"/>
    <w:qFormat/>
    <w:rsid w:val="00097F45"/>
    <w:pPr>
      <w:pBdr>
        <w:top w:val="single" w:sz="4" w:space="10" w:color="1C2F5C"/>
        <w:bottom w:val="single" w:sz="4" w:space="10" w:color="1C2F5C"/>
      </w:pBdr>
      <w:spacing w:before="480" w:after="0" w:line="240" w:lineRule="auto"/>
    </w:pPr>
    <w:rPr>
      <w:rFonts w:ascii="Arial" w:hAnsi="Arial" w:cs="Arial"/>
      <w:color w:val="375D9D"/>
      <w:sz w:val="72"/>
      <w:szCs w:val="72"/>
    </w:rPr>
  </w:style>
  <w:style w:type="paragraph" w:customStyle="1" w:styleId="InsideCoverHead2">
    <w:name w:val="Inside Cover Head 2"/>
    <w:basedOn w:val="Normal"/>
    <w:qFormat/>
    <w:rsid w:val="00097F45"/>
    <w:pPr>
      <w:spacing w:before="720" w:after="0" w:line="360" w:lineRule="auto"/>
    </w:pPr>
    <w:rPr>
      <w:rFonts w:ascii="Arial" w:hAnsi="Arial" w:cs="Arial"/>
      <w:b/>
      <w:color w:val="1C2F5C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5"/>
    <w:rsid w:val="00097F45"/>
    <w:rPr>
      <w:rFonts w:ascii="Arial" w:hAnsi="Arial" w:cs="Times New Roman"/>
      <w:b/>
      <w:bCs/>
      <w:iCs/>
      <w:color w:val="1C2F5C"/>
      <w:sz w:val="24"/>
      <w:szCs w:val="28"/>
    </w:rPr>
  </w:style>
  <w:style w:type="paragraph" w:styleId="BodyText">
    <w:name w:val="Body Text"/>
    <w:basedOn w:val="Normal"/>
    <w:link w:val="BodyTextChar"/>
    <w:rsid w:val="00050878"/>
    <w:pPr>
      <w:spacing w:after="240" w:line="300" w:lineRule="auto"/>
    </w:pPr>
    <w:rPr>
      <w:rFonts w:ascii="Times New Roman" w:eastAsia="Calibr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050878"/>
    <w:rPr>
      <w:rFonts w:ascii="Times New Roman" w:eastAsia="Calibri" w:hAnsi="Times New Roman" w:cs="Times New Roman"/>
    </w:rPr>
  </w:style>
  <w:style w:type="table" w:styleId="TableGrid">
    <w:name w:val="Table Grid"/>
    <w:basedOn w:val="TableNormal"/>
    <w:uiPriority w:val="59"/>
    <w:rsid w:val="0040675D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40675D"/>
    <w:pPr>
      <w:keepNext/>
      <w:keepLines/>
      <w:spacing w:before="60" w:after="40" w:line="240" w:lineRule="auto"/>
      <w:jc w:val="center"/>
    </w:pPr>
    <w:rPr>
      <w:rFonts w:ascii="Times New Roman" w:eastAsia="Calibri" w:hAnsi="Times New Roman" w:cs="Times New Roman"/>
      <w:b/>
      <w:color w:val="1C2F5C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40675D"/>
    <w:rPr>
      <w:rFonts w:ascii="Times New Roman" w:eastAsia="Calibri" w:hAnsi="Times New Roman" w:cs="Times New Roman"/>
      <w:b/>
      <w:color w:val="1C2F5C"/>
      <w:szCs w:val="20"/>
    </w:rPr>
  </w:style>
  <w:style w:type="paragraph" w:styleId="ListBullet">
    <w:name w:val="List Bullet"/>
    <w:basedOn w:val="Normal"/>
    <w:link w:val="ListBulletChar"/>
    <w:rsid w:val="0040675D"/>
    <w:pPr>
      <w:numPr>
        <w:numId w:val="8"/>
      </w:numPr>
      <w:spacing w:after="60" w:line="300" w:lineRule="auto"/>
    </w:pPr>
    <w:rPr>
      <w:rFonts w:ascii="Times New Roman" w:hAnsi="Times New Roman" w:cs="Times New Roman"/>
    </w:rPr>
  </w:style>
  <w:style w:type="paragraph" w:styleId="ListNumber">
    <w:name w:val="List Number"/>
    <w:basedOn w:val="Normal"/>
    <w:uiPriority w:val="99"/>
    <w:unhideWhenUsed/>
    <w:rsid w:val="0040675D"/>
    <w:pPr>
      <w:keepLines/>
      <w:spacing w:after="120" w:line="300" w:lineRule="auto"/>
    </w:pPr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40675D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675D"/>
    <w:rPr>
      <w:rFonts w:ascii="Consolas" w:eastAsia="Calibri" w:hAnsi="Consolas" w:cs="Times New Roman"/>
      <w:sz w:val="21"/>
      <w:szCs w:val="21"/>
    </w:rPr>
  </w:style>
  <w:style w:type="paragraph" w:styleId="ListNumber4">
    <w:name w:val="List Number 4"/>
    <w:basedOn w:val="Normal"/>
    <w:uiPriority w:val="99"/>
    <w:semiHidden/>
    <w:unhideWhenUsed/>
    <w:rsid w:val="0040675D"/>
    <w:pPr>
      <w:numPr>
        <w:numId w:val="10"/>
      </w:numPr>
      <w:spacing w:after="0" w:line="240" w:lineRule="auto"/>
      <w:contextualSpacing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0675D"/>
    <w:rPr>
      <w:sz w:val="16"/>
      <w:szCs w:val="16"/>
    </w:rPr>
  </w:style>
  <w:style w:type="paragraph" w:styleId="ListNumber2">
    <w:name w:val="List Number 2"/>
    <w:basedOn w:val="Normal"/>
    <w:uiPriority w:val="99"/>
    <w:semiHidden/>
    <w:unhideWhenUsed/>
    <w:rsid w:val="0040675D"/>
    <w:pPr>
      <w:keepLines/>
      <w:numPr>
        <w:numId w:val="11"/>
      </w:numPr>
      <w:spacing w:after="0" w:line="240" w:lineRule="auto"/>
      <w:contextualSpacing/>
    </w:pPr>
    <w:rPr>
      <w:rFonts w:ascii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unhideWhenUsed/>
    <w:rsid w:val="0040675D"/>
    <w:pPr>
      <w:spacing w:after="240" w:line="240" w:lineRule="auto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0675D"/>
    <w:rPr>
      <w:rFonts w:ascii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40675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Number5">
    <w:name w:val="List Number 5"/>
    <w:basedOn w:val="Normal"/>
    <w:uiPriority w:val="99"/>
    <w:semiHidden/>
    <w:unhideWhenUsed/>
    <w:rsid w:val="0040675D"/>
    <w:pPr>
      <w:numPr>
        <w:numId w:val="14"/>
      </w:numPr>
      <w:spacing w:after="0" w:line="240" w:lineRule="auto"/>
      <w:contextualSpacing/>
    </w:pPr>
    <w:rPr>
      <w:rFonts w:ascii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A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A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A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A3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E19C8"/>
    <w:pPr>
      <w:spacing w:after="0" w:line="240" w:lineRule="auto"/>
    </w:pPr>
  </w:style>
  <w:style w:type="character" w:customStyle="1" w:styleId="ListBulletChar">
    <w:name w:val="List Bullet Char"/>
    <w:basedOn w:val="DefaultParagraphFont"/>
    <w:link w:val="ListBullet"/>
    <w:rsid w:val="001E1B82"/>
    <w:rPr>
      <w:rFonts w:ascii="Times New Roman" w:hAnsi="Times New Roman" w:cs="Times New Roman"/>
    </w:rPr>
  </w:style>
  <w:style w:type="paragraph" w:customStyle="1" w:styleId="EndNoteBibliography">
    <w:name w:val="EndNote Bibliography"/>
    <w:basedOn w:val="Normal"/>
    <w:link w:val="EndNoteBibliographyChar"/>
    <w:rsid w:val="00357322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57322"/>
    <w:rPr>
      <w:rFonts w:ascii="Calibri" w:hAnsi="Calibri"/>
      <w:noProof/>
    </w:rPr>
  </w:style>
  <w:style w:type="character" w:customStyle="1" w:styleId="element-citation">
    <w:name w:val="element-citation"/>
    <w:basedOn w:val="DefaultParagraphFont"/>
    <w:rsid w:val="00CC5186"/>
  </w:style>
  <w:style w:type="character" w:customStyle="1" w:styleId="ref-journal">
    <w:name w:val="ref-journal"/>
    <w:basedOn w:val="DefaultParagraphFont"/>
    <w:rsid w:val="00CC5186"/>
  </w:style>
  <w:style w:type="character" w:styleId="FollowedHyperlink">
    <w:name w:val="FollowedHyperlink"/>
    <w:rsid w:val="00495B9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448">
          <w:marLeft w:val="0"/>
          <w:marRight w:val="0"/>
          <w:marTop w:val="0"/>
          <w:marBottom w:val="0"/>
          <w:divBdr>
            <w:top w:val="none" w:sz="0" w:space="15" w:color="DEDEDE"/>
            <w:left w:val="none" w:sz="0" w:space="23" w:color="DEDEDE"/>
            <w:bottom w:val="none" w:sz="0" w:space="15" w:color="DEDEDE"/>
            <w:right w:val="none" w:sz="0" w:space="23" w:color="DEDEDE"/>
          </w:divBdr>
          <w:divsChild>
            <w:div w:id="1602570530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5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2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5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8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9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3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4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3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1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4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5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6158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574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47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955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0969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985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birt.webs.com/curriculu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B1D11-38A9-4D7B-B0C8-131D9BA6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13288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Noriega</dc:creator>
  <cp:lastModifiedBy>Tracy McPherson</cp:lastModifiedBy>
  <cp:revision>29</cp:revision>
  <cp:lastPrinted>2016-01-19T06:02:00Z</cp:lastPrinted>
  <dcterms:created xsi:type="dcterms:W3CDTF">2023-02-02T19:52:00Z</dcterms:created>
  <dcterms:modified xsi:type="dcterms:W3CDTF">2023-02-03T01:18:00Z</dcterms:modified>
</cp:coreProperties>
</file>